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A70" w:rsidRDefault="00462A70" w:rsidP="00462A70">
      <w:pPr>
        <w:jc w:val="center"/>
        <w:rPr>
          <w:b/>
          <w:sz w:val="28"/>
          <w:szCs w:val="28"/>
        </w:rPr>
      </w:pPr>
    </w:p>
    <w:p w:rsidR="00C47FBB" w:rsidRDefault="00C47FBB" w:rsidP="00462A70">
      <w:pPr>
        <w:jc w:val="center"/>
        <w:rPr>
          <w:b/>
          <w:sz w:val="28"/>
          <w:szCs w:val="28"/>
        </w:rPr>
      </w:pPr>
    </w:p>
    <w:p w:rsidR="00462A70" w:rsidRDefault="00462A70" w:rsidP="00462A70">
      <w:pPr>
        <w:jc w:val="center"/>
        <w:rPr>
          <w:b/>
          <w:sz w:val="28"/>
          <w:szCs w:val="28"/>
        </w:rPr>
      </w:pPr>
    </w:p>
    <w:p w:rsidR="00462A70" w:rsidRDefault="00462A70" w:rsidP="00462A70">
      <w:pPr>
        <w:jc w:val="center"/>
        <w:rPr>
          <w:b/>
          <w:sz w:val="28"/>
          <w:szCs w:val="28"/>
        </w:rPr>
      </w:pPr>
    </w:p>
    <w:p w:rsidR="00462A70" w:rsidRDefault="00462A70" w:rsidP="00462A70">
      <w:pPr>
        <w:jc w:val="center"/>
        <w:rPr>
          <w:b/>
          <w:sz w:val="28"/>
          <w:szCs w:val="28"/>
        </w:rPr>
      </w:pPr>
    </w:p>
    <w:p w:rsidR="00462A70" w:rsidRDefault="00462A70" w:rsidP="00462A70">
      <w:pPr>
        <w:jc w:val="center"/>
        <w:rPr>
          <w:b/>
          <w:sz w:val="28"/>
          <w:szCs w:val="28"/>
        </w:rPr>
      </w:pPr>
    </w:p>
    <w:p w:rsidR="00462A70" w:rsidRDefault="00462A70" w:rsidP="00462A70">
      <w:pPr>
        <w:jc w:val="center"/>
        <w:rPr>
          <w:b/>
          <w:sz w:val="28"/>
          <w:szCs w:val="28"/>
        </w:rPr>
      </w:pPr>
    </w:p>
    <w:p w:rsidR="00462A70" w:rsidRDefault="00462A70" w:rsidP="00462A70">
      <w:pPr>
        <w:jc w:val="center"/>
        <w:rPr>
          <w:b/>
          <w:sz w:val="28"/>
          <w:szCs w:val="28"/>
        </w:rPr>
      </w:pPr>
    </w:p>
    <w:p w:rsidR="00462A70" w:rsidRDefault="00462A70" w:rsidP="00462A70">
      <w:pPr>
        <w:jc w:val="center"/>
        <w:rPr>
          <w:b/>
          <w:sz w:val="28"/>
          <w:szCs w:val="28"/>
        </w:rPr>
      </w:pPr>
    </w:p>
    <w:p w:rsidR="00FD4232" w:rsidRDefault="00462A70" w:rsidP="00FD4232">
      <w:pPr>
        <w:spacing w:line="360" w:lineRule="auto"/>
        <w:rPr>
          <w:b/>
          <w:sz w:val="25"/>
          <w:szCs w:val="25"/>
        </w:rPr>
      </w:pPr>
      <w:r w:rsidRPr="0055021A">
        <w:rPr>
          <w:b/>
          <w:sz w:val="30"/>
          <w:szCs w:val="30"/>
        </w:rPr>
        <w:t>C</w:t>
      </w:r>
      <w:r w:rsidRPr="0055021A">
        <w:rPr>
          <w:b/>
          <w:sz w:val="25"/>
          <w:szCs w:val="25"/>
        </w:rPr>
        <w:t xml:space="preserve">OMMERCIAL </w:t>
      </w:r>
      <w:r w:rsidRPr="00462A70">
        <w:rPr>
          <w:b/>
          <w:sz w:val="30"/>
          <w:szCs w:val="30"/>
        </w:rPr>
        <w:t>R</w:t>
      </w:r>
      <w:r w:rsidRPr="00462A70">
        <w:rPr>
          <w:b/>
          <w:sz w:val="25"/>
          <w:szCs w:val="25"/>
        </w:rPr>
        <w:t xml:space="preserve">EAL </w:t>
      </w:r>
      <w:r w:rsidRPr="00462A70">
        <w:rPr>
          <w:b/>
          <w:sz w:val="30"/>
          <w:szCs w:val="30"/>
        </w:rPr>
        <w:t>E</w:t>
      </w:r>
      <w:r w:rsidRPr="00462A70">
        <w:rPr>
          <w:b/>
          <w:sz w:val="25"/>
          <w:szCs w:val="25"/>
        </w:rPr>
        <w:t xml:space="preserve">STATE </w:t>
      </w:r>
      <w:r w:rsidRPr="00462A70">
        <w:rPr>
          <w:b/>
          <w:sz w:val="30"/>
          <w:szCs w:val="30"/>
        </w:rPr>
        <w:t>P</w:t>
      </w:r>
      <w:r w:rsidR="00FD4232">
        <w:rPr>
          <w:b/>
          <w:sz w:val="25"/>
          <w:szCs w:val="25"/>
        </w:rPr>
        <w:t xml:space="preserve">RICE </w:t>
      </w:r>
      <w:r w:rsidR="00FD4232">
        <w:rPr>
          <w:b/>
          <w:sz w:val="30"/>
          <w:szCs w:val="30"/>
        </w:rPr>
        <w:t>V</w:t>
      </w:r>
      <w:r w:rsidR="00FD4232">
        <w:rPr>
          <w:b/>
          <w:sz w:val="25"/>
          <w:szCs w:val="25"/>
        </w:rPr>
        <w:t>OLATILITY</w:t>
      </w:r>
      <w:r w:rsidR="005872F3">
        <w:rPr>
          <w:b/>
          <w:sz w:val="25"/>
          <w:szCs w:val="25"/>
        </w:rPr>
        <w:t>:</w:t>
      </w:r>
    </w:p>
    <w:p w:rsidR="005872F3" w:rsidRDefault="005872F3" w:rsidP="00FD4232">
      <w:pPr>
        <w:spacing w:line="360" w:lineRule="auto"/>
        <w:rPr>
          <w:b/>
          <w:sz w:val="25"/>
          <w:szCs w:val="25"/>
        </w:rPr>
      </w:pPr>
      <w:r>
        <w:rPr>
          <w:b/>
          <w:sz w:val="30"/>
          <w:szCs w:val="30"/>
        </w:rPr>
        <w:t>C</w:t>
      </w:r>
      <w:r>
        <w:rPr>
          <w:b/>
          <w:sz w:val="25"/>
          <w:szCs w:val="25"/>
        </w:rPr>
        <w:t xml:space="preserve">REDIT </w:t>
      </w:r>
      <w:r>
        <w:rPr>
          <w:b/>
          <w:sz w:val="30"/>
          <w:szCs w:val="30"/>
        </w:rPr>
        <w:t>P</w:t>
      </w:r>
      <w:r>
        <w:rPr>
          <w:b/>
          <w:sz w:val="25"/>
          <w:szCs w:val="25"/>
        </w:rPr>
        <w:t xml:space="preserve">OLICY VS </w:t>
      </w:r>
      <w:r w:rsidRPr="005872F3">
        <w:rPr>
          <w:b/>
          <w:sz w:val="30"/>
          <w:szCs w:val="30"/>
        </w:rPr>
        <w:t>P</w:t>
      </w:r>
      <w:r>
        <w:rPr>
          <w:b/>
          <w:sz w:val="25"/>
          <w:szCs w:val="25"/>
        </w:rPr>
        <w:t xml:space="preserve">ROPERTY </w:t>
      </w:r>
      <w:r>
        <w:rPr>
          <w:b/>
          <w:sz w:val="30"/>
          <w:szCs w:val="30"/>
        </w:rPr>
        <w:t>M</w:t>
      </w:r>
      <w:r>
        <w:rPr>
          <w:b/>
          <w:sz w:val="25"/>
          <w:szCs w:val="25"/>
        </w:rPr>
        <w:t>ARKETS</w:t>
      </w:r>
    </w:p>
    <w:p w:rsidR="00462A70" w:rsidRDefault="00462A70" w:rsidP="00462A70">
      <w:pPr>
        <w:jc w:val="center"/>
        <w:rPr>
          <w:b/>
          <w:sz w:val="28"/>
          <w:szCs w:val="28"/>
        </w:rPr>
      </w:pPr>
    </w:p>
    <w:p w:rsidR="00462A70" w:rsidRDefault="00462A70" w:rsidP="00462A70">
      <w:pPr>
        <w:jc w:val="center"/>
        <w:rPr>
          <w:b/>
          <w:sz w:val="28"/>
          <w:szCs w:val="28"/>
        </w:rPr>
      </w:pPr>
    </w:p>
    <w:p w:rsidR="00462A70" w:rsidRDefault="00462A70" w:rsidP="00462A70">
      <w:pPr>
        <w:rPr>
          <w:sz w:val="24"/>
          <w:szCs w:val="24"/>
        </w:rPr>
      </w:pPr>
    </w:p>
    <w:p w:rsidR="00462A70" w:rsidRPr="00803FA0" w:rsidRDefault="00462A70" w:rsidP="00462A70">
      <w:pPr>
        <w:rPr>
          <w:sz w:val="24"/>
          <w:szCs w:val="24"/>
        </w:rPr>
      </w:pPr>
    </w:p>
    <w:p w:rsidR="00462A70" w:rsidRPr="00C9496D" w:rsidRDefault="00462A70" w:rsidP="00462A70">
      <w:pPr>
        <w:rPr>
          <w:sz w:val="22"/>
          <w:szCs w:val="22"/>
        </w:rPr>
      </w:pPr>
      <w:r w:rsidRPr="00C9496D">
        <w:rPr>
          <w:sz w:val="22"/>
          <w:szCs w:val="22"/>
        </w:rPr>
        <w:t>Jonathan A. Wiley, Ph.D.</w:t>
      </w:r>
    </w:p>
    <w:p w:rsidR="00462A70" w:rsidRPr="00C9496D" w:rsidRDefault="00CE1F1C" w:rsidP="00462A70">
      <w:pPr>
        <w:rPr>
          <w:sz w:val="22"/>
          <w:szCs w:val="22"/>
        </w:rPr>
      </w:pPr>
      <w:r>
        <w:rPr>
          <w:sz w:val="22"/>
          <w:szCs w:val="22"/>
        </w:rPr>
        <w:t xml:space="preserve">Associate </w:t>
      </w:r>
      <w:r w:rsidR="00462A70" w:rsidRPr="00C9496D">
        <w:rPr>
          <w:sz w:val="22"/>
          <w:szCs w:val="22"/>
        </w:rPr>
        <w:t xml:space="preserve">Professor </w:t>
      </w:r>
    </w:p>
    <w:p w:rsidR="00462A70" w:rsidRPr="00C9496D" w:rsidRDefault="00462A70" w:rsidP="00462A70">
      <w:pPr>
        <w:rPr>
          <w:sz w:val="22"/>
          <w:szCs w:val="22"/>
        </w:rPr>
      </w:pPr>
      <w:r w:rsidRPr="00C9496D">
        <w:rPr>
          <w:sz w:val="22"/>
          <w:szCs w:val="22"/>
        </w:rPr>
        <w:t>Department of Real Estate</w:t>
      </w:r>
    </w:p>
    <w:p w:rsidR="00462A70" w:rsidRPr="00C9496D" w:rsidRDefault="00462A70" w:rsidP="00462A70">
      <w:pPr>
        <w:rPr>
          <w:sz w:val="22"/>
          <w:szCs w:val="22"/>
        </w:rPr>
      </w:pPr>
      <w:r w:rsidRPr="00C9496D">
        <w:rPr>
          <w:sz w:val="22"/>
          <w:szCs w:val="22"/>
        </w:rPr>
        <w:t>J. Mack Robinson College of Business</w:t>
      </w:r>
    </w:p>
    <w:p w:rsidR="00462A70" w:rsidRDefault="00462A70" w:rsidP="00462A70">
      <w:pPr>
        <w:rPr>
          <w:sz w:val="22"/>
          <w:szCs w:val="22"/>
        </w:rPr>
      </w:pPr>
      <w:r w:rsidRPr="00C9496D">
        <w:rPr>
          <w:sz w:val="22"/>
          <w:szCs w:val="22"/>
        </w:rPr>
        <w:t>Georgia State University</w:t>
      </w:r>
    </w:p>
    <w:p w:rsidR="00895384" w:rsidRDefault="00895384" w:rsidP="00462A70">
      <w:pPr>
        <w:rPr>
          <w:sz w:val="22"/>
          <w:szCs w:val="22"/>
        </w:rPr>
      </w:pPr>
      <w:r>
        <w:rPr>
          <w:sz w:val="22"/>
          <w:szCs w:val="22"/>
        </w:rPr>
        <w:t>35 Broad St., Ste 1408</w:t>
      </w:r>
    </w:p>
    <w:p w:rsidR="00895384" w:rsidRDefault="00895384" w:rsidP="00462A70">
      <w:pPr>
        <w:rPr>
          <w:sz w:val="22"/>
          <w:szCs w:val="22"/>
        </w:rPr>
      </w:pPr>
      <w:r>
        <w:rPr>
          <w:sz w:val="22"/>
          <w:szCs w:val="22"/>
        </w:rPr>
        <w:t>Atlanta, GA 30303</w:t>
      </w:r>
    </w:p>
    <w:p w:rsidR="00462A70" w:rsidRDefault="002D0A3A" w:rsidP="00895384">
      <w:pPr>
        <w:spacing w:before="120" w:after="120"/>
        <w:rPr>
          <w:sz w:val="22"/>
          <w:szCs w:val="22"/>
        </w:rPr>
      </w:pPr>
      <w:hyperlink r:id="rId8" w:history="1">
        <w:r w:rsidR="00462A70" w:rsidRPr="00A57E17">
          <w:rPr>
            <w:rStyle w:val="Hyperlink"/>
            <w:sz w:val="22"/>
            <w:szCs w:val="22"/>
          </w:rPr>
          <w:t>jwiley@gsu.edu</w:t>
        </w:r>
      </w:hyperlink>
      <w:r w:rsidR="00462A70">
        <w:rPr>
          <w:sz w:val="22"/>
          <w:szCs w:val="22"/>
        </w:rPr>
        <w:t xml:space="preserve"> </w:t>
      </w:r>
    </w:p>
    <w:p w:rsidR="00462A70" w:rsidRPr="00354E06" w:rsidRDefault="00462A70" w:rsidP="00462A70">
      <w:pPr>
        <w:jc w:val="center"/>
        <w:rPr>
          <w:sz w:val="24"/>
          <w:szCs w:val="24"/>
        </w:rPr>
      </w:pPr>
    </w:p>
    <w:p w:rsidR="00462A70" w:rsidRPr="00354E06" w:rsidRDefault="00462A70" w:rsidP="00462A70">
      <w:pPr>
        <w:jc w:val="center"/>
        <w:rPr>
          <w:b/>
          <w:sz w:val="24"/>
          <w:szCs w:val="24"/>
        </w:rPr>
      </w:pPr>
    </w:p>
    <w:p w:rsidR="00462A70" w:rsidRPr="00354E06" w:rsidRDefault="00462A70" w:rsidP="00462A70">
      <w:pPr>
        <w:jc w:val="center"/>
        <w:rPr>
          <w:b/>
          <w:sz w:val="24"/>
          <w:szCs w:val="24"/>
        </w:rPr>
      </w:pPr>
    </w:p>
    <w:p w:rsidR="00462A70" w:rsidRPr="00354E06" w:rsidRDefault="00462A70" w:rsidP="00462A70">
      <w:pPr>
        <w:jc w:val="center"/>
        <w:rPr>
          <w:b/>
          <w:sz w:val="24"/>
          <w:szCs w:val="24"/>
        </w:rPr>
      </w:pPr>
    </w:p>
    <w:p w:rsidR="00462A70" w:rsidRDefault="00462A70" w:rsidP="00462A70">
      <w:pPr>
        <w:jc w:val="center"/>
        <w:rPr>
          <w:b/>
          <w:sz w:val="24"/>
          <w:szCs w:val="24"/>
        </w:rPr>
      </w:pPr>
    </w:p>
    <w:p w:rsidR="00462A70" w:rsidRDefault="00462A70" w:rsidP="00462A70">
      <w:pPr>
        <w:rPr>
          <w:b/>
          <w:sz w:val="24"/>
          <w:szCs w:val="24"/>
        </w:rPr>
      </w:pPr>
    </w:p>
    <w:p w:rsidR="00462A70" w:rsidRDefault="00462A70" w:rsidP="00462A70">
      <w:pPr>
        <w:rPr>
          <w:b/>
          <w:sz w:val="24"/>
          <w:szCs w:val="24"/>
        </w:rPr>
      </w:pPr>
    </w:p>
    <w:p w:rsidR="00462A70" w:rsidRDefault="00462A70" w:rsidP="00462A70">
      <w:pPr>
        <w:rPr>
          <w:b/>
          <w:sz w:val="24"/>
          <w:szCs w:val="24"/>
        </w:rPr>
      </w:pPr>
    </w:p>
    <w:p w:rsidR="00CE1F1C" w:rsidRPr="00354E06" w:rsidRDefault="00CE1F1C" w:rsidP="00462A70">
      <w:pPr>
        <w:rPr>
          <w:b/>
          <w:sz w:val="24"/>
          <w:szCs w:val="24"/>
        </w:rPr>
      </w:pPr>
    </w:p>
    <w:p w:rsidR="00462A70" w:rsidRPr="00CE1F1C" w:rsidRDefault="00CE1F1C" w:rsidP="00CE1F1C">
      <w:pPr>
        <w:spacing w:after="120"/>
        <w:rPr>
          <w:bCs/>
          <w:sz w:val="22"/>
          <w:szCs w:val="22"/>
        </w:rPr>
      </w:pPr>
      <w:r>
        <w:rPr>
          <w:sz w:val="22"/>
          <w:szCs w:val="22"/>
        </w:rPr>
        <w:t xml:space="preserve">Funding and data support for this research was provided by </w:t>
      </w:r>
      <w:r w:rsidR="00462A70" w:rsidRPr="00CE1F1C">
        <w:rPr>
          <w:bCs/>
          <w:sz w:val="22"/>
          <w:szCs w:val="22"/>
        </w:rPr>
        <w:t>Real Estate Research Institute</w:t>
      </w:r>
      <w:r>
        <w:rPr>
          <w:bCs/>
          <w:sz w:val="22"/>
          <w:szCs w:val="22"/>
        </w:rPr>
        <w:t>.</w:t>
      </w:r>
      <w:r w:rsidR="003D2F8B">
        <w:rPr>
          <w:bCs/>
          <w:sz w:val="22"/>
          <w:szCs w:val="22"/>
        </w:rPr>
        <w:t xml:space="preserve"> The author would sincerely like to thank Jim Clayton, who served as mentor on this project and provided helpful guidance </w:t>
      </w:r>
      <w:r w:rsidR="00F27578">
        <w:rPr>
          <w:bCs/>
          <w:sz w:val="22"/>
          <w:szCs w:val="22"/>
        </w:rPr>
        <w:t xml:space="preserve">along the way </w:t>
      </w:r>
      <w:r w:rsidR="003D2F8B">
        <w:rPr>
          <w:bCs/>
          <w:sz w:val="22"/>
          <w:szCs w:val="22"/>
        </w:rPr>
        <w:t xml:space="preserve">in </w:t>
      </w:r>
      <w:r w:rsidR="00F27578">
        <w:rPr>
          <w:bCs/>
          <w:sz w:val="22"/>
          <w:szCs w:val="22"/>
        </w:rPr>
        <w:t>the development of</w:t>
      </w:r>
      <w:r w:rsidR="003D2F8B">
        <w:rPr>
          <w:bCs/>
          <w:sz w:val="22"/>
          <w:szCs w:val="22"/>
        </w:rPr>
        <w:t xml:space="preserve"> this manuscript.</w:t>
      </w:r>
    </w:p>
    <w:p w:rsidR="00462A70" w:rsidRPr="00354E06" w:rsidRDefault="00462A70" w:rsidP="00462A70">
      <w:pPr>
        <w:rPr>
          <w:b/>
          <w:bCs/>
          <w:sz w:val="24"/>
          <w:szCs w:val="24"/>
        </w:rPr>
      </w:pPr>
    </w:p>
    <w:p w:rsidR="00462A70" w:rsidRDefault="00462A70" w:rsidP="00462A70">
      <w:pPr>
        <w:rPr>
          <w:b/>
          <w:bCs/>
          <w:sz w:val="24"/>
          <w:szCs w:val="24"/>
        </w:rPr>
      </w:pPr>
    </w:p>
    <w:p w:rsidR="00462A70" w:rsidRDefault="00462A70" w:rsidP="00462A70">
      <w:pPr>
        <w:rPr>
          <w:b/>
          <w:bCs/>
          <w:sz w:val="24"/>
          <w:szCs w:val="24"/>
        </w:rPr>
      </w:pPr>
    </w:p>
    <w:p w:rsidR="00462A70" w:rsidRPr="00354E06" w:rsidRDefault="00462A70" w:rsidP="00462A70">
      <w:pPr>
        <w:rPr>
          <w:b/>
          <w:bCs/>
          <w:sz w:val="24"/>
          <w:szCs w:val="24"/>
        </w:rPr>
      </w:pPr>
      <w:bookmarkStart w:id="0" w:name="_GoBack"/>
      <w:bookmarkEnd w:id="0"/>
    </w:p>
    <w:p w:rsidR="00462A70" w:rsidRPr="00C9496D" w:rsidRDefault="00B36E8B" w:rsidP="00462A70">
      <w:pPr>
        <w:rPr>
          <w:bCs/>
          <w:sz w:val="22"/>
          <w:szCs w:val="22"/>
        </w:rPr>
      </w:pPr>
      <w:r>
        <w:rPr>
          <w:bCs/>
          <w:sz w:val="22"/>
          <w:szCs w:val="22"/>
        </w:rPr>
        <w:t>January</w:t>
      </w:r>
      <w:r w:rsidR="003D2F8B">
        <w:rPr>
          <w:bCs/>
          <w:sz w:val="22"/>
          <w:szCs w:val="22"/>
        </w:rPr>
        <w:t xml:space="preserve"> </w:t>
      </w:r>
      <w:r>
        <w:rPr>
          <w:bCs/>
          <w:sz w:val="22"/>
          <w:szCs w:val="22"/>
        </w:rPr>
        <w:t>2015</w:t>
      </w:r>
    </w:p>
    <w:p w:rsidR="00462A70" w:rsidRDefault="00462A70" w:rsidP="00462A70">
      <w:pPr>
        <w:rPr>
          <w:b/>
          <w:bCs/>
        </w:rPr>
      </w:pPr>
    </w:p>
    <w:p w:rsidR="002367F6" w:rsidRDefault="002367F6" w:rsidP="00354E06">
      <w:pPr>
        <w:rPr>
          <w:b/>
          <w:bCs/>
        </w:rPr>
      </w:pPr>
    </w:p>
    <w:p w:rsidR="000B0184" w:rsidRDefault="002367F6" w:rsidP="000B0184">
      <w:pPr>
        <w:spacing w:line="480" w:lineRule="auto"/>
        <w:rPr>
          <w:b/>
          <w:bCs/>
        </w:rPr>
      </w:pPr>
      <w:r>
        <w:rPr>
          <w:b/>
          <w:bCs/>
        </w:rPr>
        <w:br w:type="page"/>
      </w:r>
    </w:p>
    <w:p w:rsidR="000B0184" w:rsidRDefault="000B0184" w:rsidP="000B0184">
      <w:pPr>
        <w:spacing w:line="480" w:lineRule="auto"/>
        <w:rPr>
          <w:b/>
          <w:bCs/>
        </w:rPr>
      </w:pPr>
    </w:p>
    <w:p w:rsidR="000B0184" w:rsidRDefault="000B0184" w:rsidP="000B0184">
      <w:pPr>
        <w:spacing w:line="480" w:lineRule="auto"/>
        <w:rPr>
          <w:b/>
          <w:bCs/>
        </w:rPr>
      </w:pPr>
    </w:p>
    <w:p w:rsidR="000B0184" w:rsidRDefault="000B0184" w:rsidP="000B0184">
      <w:pPr>
        <w:spacing w:line="480" w:lineRule="auto"/>
        <w:rPr>
          <w:b/>
          <w:bCs/>
        </w:rPr>
      </w:pPr>
    </w:p>
    <w:p w:rsidR="00462A70" w:rsidRDefault="00462A70" w:rsidP="00462A70">
      <w:pPr>
        <w:spacing w:line="360" w:lineRule="auto"/>
        <w:rPr>
          <w:b/>
          <w:sz w:val="25"/>
          <w:szCs w:val="25"/>
        </w:rPr>
      </w:pPr>
      <w:r w:rsidRPr="0055021A">
        <w:rPr>
          <w:b/>
          <w:sz w:val="30"/>
          <w:szCs w:val="30"/>
        </w:rPr>
        <w:t>C</w:t>
      </w:r>
      <w:r w:rsidRPr="0055021A">
        <w:rPr>
          <w:b/>
          <w:sz w:val="25"/>
          <w:szCs w:val="25"/>
        </w:rPr>
        <w:t xml:space="preserve">OMMERCIAL </w:t>
      </w:r>
      <w:r w:rsidRPr="00462A70">
        <w:rPr>
          <w:b/>
          <w:sz w:val="30"/>
          <w:szCs w:val="30"/>
        </w:rPr>
        <w:t>R</w:t>
      </w:r>
      <w:r w:rsidRPr="00462A70">
        <w:rPr>
          <w:b/>
          <w:sz w:val="25"/>
          <w:szCs w:val="25"/>
        </w:rPr>
        <w:t xml:space="preserve">EAL </w:t>
      </w:r>
      <w:r w:rsidRPr="00462A70">
        <w:rPr>
          <w:b/>
          <w:sz w:val="30"/>
          <w:szCs w:val="30"/>
        </w:rPr>
        <w:t>E</w:t>
      </w:r>
      <w:r w:rsidRPr="00462A70">
        <w:rPr>
          <w:b/>
          <w:sz w:val="25"/>
          <w:szCs w:val="25"/>
        </w:rPr>
        <w:t xml:space="preserve">STATE </w:t>
      </w:r>
      <w:r w:rsidRPr="00462A70">
        <w:rPr>
          <w:b/>
          <w:sz w:val="30"/>
          <w:szCs w:val="30"/>
        </w:rPr>
        <w:t>P</w:t>
      </w:r>
      <w:r w:rsidR="00FD4232">
        <w:rPr>
          <w:b/>
          <w:sz w:val="25"/>
          <w:szCs w:val="25"/>
        </w:rPr>
        <w:t xml:space="preserve">RICE </w:t>
      </w:r>
      <w:r w:rsidR="00FD4232" w:rsidRPr="00FD4232">
        <w:rPr>
          <w:b/>
          <w:sz w:val="30"/>
          <w:szCs w:val="30"/>
        </w:rPr>
        <w:t>V</w:t>
      </w:r>
      <w:r w:rsidR="00FD4232">
        <w:rPr>
          <w:b/>
          <w:sz w:val="25"/>
          <w:szCs w:val="25"/>
        </w:rPr>
        <w:t>OLATILITY</w:t>
      </w:r>
      <w:r w:rsidR="005872F3">
        <w:rPr>
          <w:b/>
          <w:sz w:val="25"/>
          <w:szCs w:val="25"/>
        </w:rPr>
        <w:t>:</w:t>
      </w:r>
    </w:p>
    <w:p w:rsidR="005872F3" w:rsidRDefault="005872F3" w:rsidP="00462A70">
      <w:pPr>
        <w:spacing w:line="360" w:lineRule="auto"/>
        <w:rPr>
          <w:b/>
          <w:sz w:val="25"/>
          <w:szCs w:val="25"/>
        </w:rPr>
      </w:pPr>
      <w:r>
        <w:rPr>
          <w:b/>
          <w:sz w:val="30"/>
          <w:szCs w:val="30"/>
        </w:rPr>
        <w:t>C</w:t>
      </w:r>
      <w:r>
        <w:rPr>
          <w:b/>
          <w:sz w:val="25"/>
          <w:szCs w:val="25"/>
        </w:rPr>
        <w:t xml:space="preserve">REDIT </w:t>
      </w:r>
      <w:r>
        <w:rPr>
          <w:b/>
          <w:sz w:val="30"/>
          <w:szCs w:val="30"/>
        </w:rPr>
        <w:t>P</w:t>
      </w:r>
      <w:r>
        <w:rPr>
          <w:b/>
          <w:sz w:val="25"/>
          <w:szCs w:val="25"/>
        </w:rPr>
        <w:t xml:space="preserve">OLICY VS </w:t>
      </w:r>
      <w:r w:rsidRPr="005872F3">
        <w:rPr>
          <w:b/>
          <w:sz w:val="30"/>
          <w:szCs w:val="30"/>
        </w:rPr>
        <w:t>P</w:t>
      </w:r>
      <w:r>
        <w:rPr>
          <w:b/>
          <w:sz w:val="25"/>
          <w:szCs w:val="25"/>
        </w:rPr>
        <w:t xml:space="preserve">ROPERTY </w:t>
      </w:r>
      <w:r w:rsidRPr="005872F3">
        <w:rPr>
          <w:b/>
          <w:sz w:val="30"/>
          <w:szCs w:val="30"/>
        </w:rPr>
        <w:t>M</w:t>
      </w:r>
      <w:r>
        <w:rPr>
          <w:b/>
          <w:sz w:val="25"/>
          <w:szCs w:val="25"/>
        </w:rPr>
        <w:t>ARKETS</w:t>
      </w:r>
    </w:p>
    <w:p w:rsidR="002367F6" w:rsidRDefault="002367F6" w:rsidP="00EB6CC7">
      <w:pPr>
        <w:spacing w:line="480" w:lineRule="auto"/>
        <w:rPr>
          <w:b/>
          <w:sz w:val="24"/>
          <w:szCs w:val="24"/>
        </w:rPr>
      </w:pPr>
    </w:p>
    <w:p w:rsidR="005872F3" w:rsidRDefault="005872F3" w:rsidP="00EB6CC7">
      <w:pPr>
        <w:spacing w:line="480" w:lineRule="auto"/>
        <w:rPr>
          <w:b/>
          <w:sz w:val="24"/>
          <w:szCs w:val="24"/>
        </w:rPr>
      </w:pPr>
    </w:p>
    <w:p w:rsidR="00EB6CC7" w:rsidRPr="00BD253F" w:rsidRDefault="00EB6CC7" w:rsidP="00EB6CC7">
      <w:pPr>
        <w:spacing w:line="480" w:lineRule="auto"/>
        <w:rPr>
          <w:b/>
          <w:sz w:val="22"/>
          <w:szCs w:val="22"/>
        </w:rPr>
      </w:pPr>
      <w:r w:rsidRPr="00BD253F">
        <w:rPr>
          <w:sz w:val="22"/>
          <w:szCs w:val="22"/>
        </w:rPr>
        <w:t>Jonathan A. Wiley</w:t>
      </w:r>
    </w:p>
    <w:p w:rsidR="00354E06" w:rsidRPr="00BD253F" w:rsidRDefault="00354E06" w:rsidP="009B23B3">
      <w:pPr>
        <w:spacing w:line="480" w:lineRule="auto"/>
        <w:jc w:val="center"/>
        <w:rPr>
          <w:b/>
          <w:sz w:val="22"/>
          <w:szCs w:val="22"/>
        </w:rPr>
      </w:pPr>
    </w:p>
    <w:p w:rsidR="00EB6CC7" w:rsidRPr="00BD253F" w:rsidRDefault="00EB6CC7" w:rsidP="009B23B3">
      <w:pPr>
        <w:spacing w:line="480" w:lineRule="auto"/>
        <w:jc w:val="center"/>
        <w:rPr>
          <w:b/>
          <w:sz w:val="22"/>
          <w:szCs w:val="22"/>
        </w:rPr>
      </w:pPr>
    </w:p>
    <w:p w:rsidR="002367F6" w:rsidRPr="00BD253F" w:rsidRDefault="002367F6" w:rsidP="00020387">
      <w:pPr>
        <w:spacing w:after="200" w:line="360" w:lineRule="auto"/>
        <w:ind w:right="720"/>
        <w:rPr>
          <w:b/>
          <w:sz w:val="22"/>
          <w:szCs w:val="22"/>
        </w:rPr>
      </w:pPr>
      <w:r w:rsidRPr="00BD253F">
        <w:rPr>
          <w:b/>
          <w:sz w:val="22"/>
          <w:szCs w:val="22"/>
        </w:rPr>
        <w:t>Abstract</w:t>
      </w:r>
    </w:p>
    <w:p w:rsidR="00581AEA" w:rsidRDefault="007200C6" w:rsidP="003F6ECE">
      <w:pPr>
        <w:spacing w:line="360" w:lineRule="auto"/>
        <w:ind w:right="720"/>
        <w:jc w:val="both"/>
        <w:rPr>
          <w:sz w:val="22"/>
          <w:szCs w:val="22"/>
        </w:rPr>
      </w:pPr>
      <w:r>
        <w:rPr>
          <w:sz w:val="22"/>
          <w:szCs w:val="22"/>
        </w:rPr>
        <w:t>T</w:t>
      </w:r>
      <w:r w:rsidR="00BE52DA" w:rsidRPr="00BD253F">
        <w:rPr>
          <w:sz w:val="22"/>
          <w:szCs w:val="22"/>
        </w:rPr>
        <w:t xml:space="preserve">he </w:t>
      </w:r>
      <w:r>
        <w:rPr>
          <w:sz w:val="22"/>
          <w:szCs w:val="22"/>
        </w:rPr>
        <w:t xml:space="preserve">disconnected </w:t>
      </w:r>
      <w:r w:rsidR="00BE52DA" w:rsidRPr="00BD253F">
        <w:rPr>
          <w:sz w:val="22"/>
          <w:szCs w:val="22"/>
        </w:rPr>
        <w:t>role</w:t>
      </w:r>
      <w:r>
        <w:rPr>
          <w:sz w:val="22"/>
          <w:szCs w:val="22"/>
        </w:rPr>
        <w:t>s</w:t>
      </w:r>
      <w:r w:rsidR="00BE52DA" w:rsidRPr="00BD253F">
        <w:rPr>
          <w:sz w:val="22"/>
          <w:szCs w:val="22"/>
        </w:rPr>
        <w:t xml:space="preserve"> of credit </w:t>
      </w:r>
      <w:r>
        <w:rPr>
          <w:sz w:val="22"/>
          <w:szCs w:val="22"/>
        </w:rPr>
        <w:t xml:space="preserve">policy versus property market fundamentals </w:t>
      </w:r>
      <w:r w:rsidR="00BE52DA" w:rsidRPr="00BD253F">
        <w:rPr>
          <w:sz w:val="22"/>
          <w:szCs w:val="22"/>
        </w:rPr>
        <w:t xml:space="preserve">in producing volatility for commercial real estate </w:t>
      </w:r>
      <w:r>
        <w:rPr>
          <w:sz w:val="22"/>
          <w:szCs w:val="22"/>
        </w:rPr>
        <w:t xml:space="preserve">(CRE) </w:t>
      </w:r>
      <w:r w:rsidR="00BE52DA" w:rsidRPr="00BD253F">
        <w:rPr>
          <w:sz w:val="22"/>
          <w:szCs w:val="22"/>
        </w:rPr>
        <w:t>prices</w:t>
      </w:r>
      <w:r>
        <w:rPr>
          <w:sz w:val="22"/>
          <w:szCs w:val="22"/>
        </w:rPr>
        <w:t xml:space="preserve"> are investigated</w:t>
      </w:r>
      <w:r w:rsidR="00BE52DA" w:rsidRPr="00BD253F">
        <w:rPr>
          <w:sz w:val="22"/>
          <w:szCs w:val="22"/>
        </w:rPr>
        <w:t xml:space="preserve">. </w:t>
      </w:r>
      <w:r w:rsidR="00581AEA">
        <w:rPr>
          <w:sz w:val="22"/>
          <w:szCs w:val="22"/>
        </w:rPr>
        <w:t xml:space="preserve">Using data for the U.S. </w:t>
      </w:r>
      <w:r w:rsidR="00C952FD">
        <w:rPr>
          <w:sz w:val="22"/>
          <w:szCs w:val="22"/>
        </w:rPr>
        <w:t>CRE</w:t>
      </w:r>
      <w:r>
        <w:rPr>
          <w:sz w:val="22"/>
          <w:szCs w:val="22"/>
        </w:rPr>
        <w:t xml:space="preserve"> </w:t>
      </w:r>
      <w:r w:rsidR="00581AEA">
        <w:rPr>
          <w:sz w:val="22"/>
          <w:szCs w:val="22"/>
        </w:rPr>
        <w:t xml:space="preserve">market, </w:t>
      </w:r>
      <w:r>
        <w:rPr>
          <w:sz w:val="22"/>
          <w:szCs w:val="22"/>
        </w:rPr>
        <w:t xml:space="preserve">income returns and transaction volume </w:t>
      </w:r>
      <w:r w:rsidR="00581AEA">
        <w:rPr>
          <w:sz w:val="22"/>
          <w:szCs w:val="22"/>
        </w:rPr>
        <w:t>are found to have little</w:t>
      </w:r>
      <w:r w:rsidR="00AD1CE1">
        <w:rPr>
          <w:sz w:val="22"/>
          <w:szCs w:val="22"/>
        </w:rPr>
        <w:t>,</w:t>
      </w:r>
      <w:r w:rsidR="00581AEA">
        <w:rPr>
          <w:sz w:val="22"/>
          <w:szCs w:val="22"/>
        </w:rPr>
        <w:t xml:space="preserve"> if any</w:t>
      </w:r>
      <w:r w:rsidR="00AD1CE1">
        <w:rPr>
          <w:sz w:val="22"/>
          <w:szCs w:val="22"/>
        </w:rPr>
        <w:t>,</w:t>
      </w:r>
      <w:r w:rsidR="00581AEA">
        <w:rPr>
          <w:sz w:val="22"/>
          <w:szCs w:val="22"/>
        </w:rPr>
        <w:t xml:space="preserve"> </w:t>
      </w:r>
      <w:r>
        <w:rPr>
          <w:sz w:val="22"/>
          <w:szCs w:val="22"/>
        </w:rPr>
        <w:t>impact on capital gains</w:t>
      </w:r>
      <w:r w:rsidR="004C60B0">
        <w:rPr>
          <w:sz w:val="22"/>
          <w:szCs w:val="22"/>
        </w:rPr>
        <w:t xml:space="preserve">. </w:t>
      </w:r>
      <w:r w:rsidR="00581AEA">
        <w:rPr>
          <w:sz w:val="22"/>
          <w:szCs w:val="22"/>
        </w:rPr>
        <w:t xml:space="preserve">Instead, capital gains </w:t>
      </w:r>
      <w:r>
        <w:rPr>
          <w:sz w:val="22"/>
          <w:szCs w:val="22"/>
        </w:rPr>
        <w:t>are closely related to immediate past realized values – indicative of return-chasing behavior</w:t>
      </w:r>
      <w:r w:rsidR="00402639">
        <w:rPr>
          <w:sz w:val="22"/>
          <w:szCs w:val="22"/>
        </w:rPr>
        <w:t xml:space="preserve"> and reflecting the cyclical nature of CRE assets</w:t>
      </w:r>
      <w:r>
        <w:rPr>
          <w:sz w:val="22"/>
          <w:szCs w:val="22"/>
        </w:rPr>
        <w:t xml:space="preserve">. Additionally, capital appreciation is </w:t>
      </w:r>
      <w:r w:rsidR="00402639">
        <w:rPr>
          <w:sz w:val="22"/>
          <w:szCs w:val="22"/>
        </w:rPr>
        <w:t xml:space="preserve">strongly impacted </w:t>
      </w:r>
      <w:r w:rsidR="00581AEA">
        <w:rPr>
          <w:sz w:val="22"/>
          <w:szCs w:val="22"/>
        </w:rPr>
        <w:t>by credit policy</w:t>
      </w:r>
      <w:r w:rsidR="004C60B0">
        <w:rPr>
          <w:sz w:val="22"/>
          <w:szCs w:val="22"/>
        </w:rPr>
        <w:t xml:space="preserve">. </w:t>
      </w:r>
      <w:r w:rsidR="00581AEA">
        <w:rPr>
          <w:sz w:val="22"/>
          <w:szCs w:val="22"/>
        </w:rPr>
        <w:t>In variance decompositions, credit tightening account</w:t>
      </w:r>
      <w:r>
        <w:rPr>
          <w:sz w:val="22"/>
          <w:szCs w:val="22"/>
        </w:rPr>
        <w:t>s</w:t>
      </w:r>
      <w:r w:rsidR="00581AEA">
        <w:rPr>
          <w:sz w:val="22"/>
          <w:szCs w:val="22"/>
        </w:rPr>
        <w:t xml:space="preserve"> for </w:t>
      </w:r>
      <w:r>
        <w:rPr>
          <w:sz w:val="22"/>
          <w:szCs w:val="22"/>
        </w:rPr>
        <w:t xml:space="preserve">roughly one-third </w:t>
      </w:r>
      <w:r w:rsidR="00581AEA">
        <w:rPr>
          <w:sz w:val="22"/>
          <w:szCs w:val="22"/>
        </w:rPr>
        <w:t xml:space="preserve">of the </w:t>
      </w:r>
      <w:r>
        <w:rPr>
          <w:sz w:val="22"/>
          <w:szCs w:val="22"/>
        </w:rPr>
        <w:t xml:space="preserve">three-year forward </w:t>
      </w:r>
      <w:r w:rsidR="00581AEA">
        <w:rPr>
          <w:sz w:val="22"/>
          <w:szCs w:val="22"/>
        </w:rPr>
        <w:t xml:space="preserve">prediction error </w:t>
      </w:r>
      <w:r w:rsidR="00182BDA">
        <w:rPr>
          <w:sz w:val="22"/>
          <w:szCs w:val="22"/>
        </w:rPr>
        <w:t xml:space="preserve">for </w:t>
      </w:r>
      <w:r w:rsidR="00581AEA">
        <w:rPr>
          <w:sz w:val="22"/>
          <w:szCs w:val="22"/>
        </w:rPr>
        <w:t xml:space="preserve">capital gains, </w:t>
      </w:r>
      <w:r>
        <w:rPr>
          <w:sz w:val="22"/>
          <w:szCs w:val="22"/>
        </w:rPr>
        <w:t xml:space="preserve">whereas </w:t>
      </w:r>
      <w:r w:rsidR="00581AEA">
        <w:rPr>
          <w:sz w:val="22"/>
          <w:szCs w:val="22"/>
        </w:rPr>
        <w:t xml:space="preserve">income returns account for just </w:t>
      </w:r>
      <w:r>
        <w:rPr>
          <w:sz w:val="22"/>
          <w:szCs w:val="22"/>
        </w:rPr>
        <w:t>three</w:t>
      </w:r>
      <w:r w:rsidR="00581AEA">
        <w:rPr>
          <w:sz w:val="22"/>
          <w:szCs w:val="22"/>
        </w:rPr>
        <w:t xml:space="preserve"> percent or less</w:t>
      </w:r>
      <w:r w:rsidR="004C60B0">
        <w:rPr>
          <w:sz w:val="22"/>
          <w:szCs w:val="22"/>
        </w:rPr>
        <w:t xml:space="preserve">. </w:t>
      </w:r>
      <w:r>
        <w:rPr>
          <w:sz w:val="22"/>
          <w:szCs w:val="22"/>
        </w:rPr>
        <w:t>E</w:t>
      </w:r>
      <w:r w:rsidR="00581AEA">
        <w:rPr>
          <w:sz w:val="22"/>
          <w:szCs w:val="22"/>
        </w:rPr>
        <w:t xml:space="preserve">mpirical results obtain </w:t>
      </w:r>
      <w:r>
        <w:rPr>
          <w:sz w:val="22"/>
          <w:szCs w:val="22"/>
        </w:rPr>
        <w:t>under a variety of alter</w:t>
      </w:r>
      <w:r w:rsidR="00D4386A">
        <w:rPr>
          <w:sz w:val="22"/>
          <w:szCs w:val="22"/>
        </w:rPr>
        <w:t>nat</w:t>
      </w:r>
      <w:r>
        <w:rPr>
          <w:sz w:val="22"/>
          <w:szCs w:val="22"/>
        </w:rPr>
        <w:t xml:space="preserve">e specifications. Evidence for the influence of </w:t>
      </w:r>
      <w:r w:rsidR="00361B94">
        <w:rPr>
          <w:sz w:val="22"/>
          <w:szCs w:val="22"/>
        </w:rPr>
        <w:t xml:space="preserve">credit policy on CRE prices, when effects from property market fundamentals and transactions volume are zero, suggests that CRE lenders effectively control acceptable CRE valuations through underwriting mechanisms. During periods of loose credit, CRE lenders compete with </w:t>
      </w:r>
      <w:r w:rsidR="00DA53A1">
        <w:rPr>
          <w:sz w:val="22"/>
          <w:szCs w:val="22"/>
        </w:rPr>
        <w:t>one an</w:t>
      </w:r>
      <w:r w:rsidR="00361B94">
        <w:rPr>
          <w:sz w:val="22"/>
          <w:szCs w:val="22"/>
        </w:rPr>
        <w:t>other on terms and allow valuations to rise. Apart from return-chasing behavior, CRE price volatility is largely caused by cycles in credit policy rather than cycles in the underlying property market fundamentals. The findings of this research study suggest that stabilization in CRE credit policy would likely limit the degree of fluctuation in CRE pricing spirals.</w:t>
      </w:r>
    </w:p>
    <w:p w:rsidR="00361B94" w:rsidRDefault="00361B94" w:rsidP="003F6ECE">
      <w:pPr>
        <w:spacing w:line="360" w:lineRule="auto"/>
        <w:ind w:right="720"/>
        <w:jc w:val="both"/>
        <w:rPr>
          <w:sz w:val="22"/>
          <w:szCs w:val="22"/>
        </w:rPr>
      </w:pPr>
    </w:p>
    <w:p w:rsidR="00727ACF" w:rsidRPr="00BD253F" w:rsidRDefault="00727ACF" w:rsidP="003F6ECE">
      <w:pPr>
        <w:spacing w:line="360" w:lineRule="auto"/>
        <w:ind w:right="720"/>
        <w:jc w:val="both"/>
        <w:rPr>
          <w:sz w:val="22"/>
          <w:szCs w:val="22"/>
        </w:rPr>
      </w:pPr>
    </w:p>
    <w:p w:rsidR="00462A70" w:rsidRPr="00F303DF" w:rsidRDefault="002367F6" w:rsidP="00462A70">
      <w:pPr>
        <w:pBdr>
          <w:bottom w:val="single" w:sz="6" w:space="1" w:color="auto"/>
        </w:pBdr>
        <w:spacing w:line="360" w:lineRule="auto"/>
        <w:jc w:val="center"/>
        <w:rPr>
          <w:b/>
          <w:sz w:val="23"/>
          <w:szCs w:val="23"/>
        </w:rPr>
      </w:pPr>
      <w:r>
        <w:rPr>
          <w:b/>
          <w:sz w:val="24"/>
          <w:szCs w:val="24"/>
        </w:rPr>
        <w:br w:type="page"/>
      </w:r>
      <w:r w:rsidR="00462A70" w:rsidRPr="00F303DF">
        <w:rPr>
          <w:b/>
          <w:sz w:val="28"/>
          <w:szCs w:val="28"/>
        </w:rPr>
        <w:lastRenderedPageBreak/>
        <w:t>C</w:t>
      </w:r>
      <w:r w:rsidR="00462A70" w:rsidRPr="00F303DF">
        <w:rPr>
          <w:b/>
          <w:sz w:val="23"/>
          <w:szCs w:val="23"/>
        </w:rPr>
        <w:t xml:space="preserve">OMMERCIAL </w:t>
      </w:r>
      <w:r w:rsidR="00462A70" w:rsidRPr="00F303DF">
        <w:rPr>
          <w:b/>
          <w:sz w:val="28"/>
          <w:szCs w:val="28"/>
        </w:rPr>
        <w:t>R</w:t>
      </w:r>
      <w:r w:rsidR="00462A70" w:rsidRPr="00F303DF">
        <w:rPr>
          <w:b/>
          <w:sz w:val="23"/>
          <w:szCs w:val="23"/>
        </w:rPr>
        <w:t xml:space="preserve">EAL </w:t>
      </w:r>
      <w:r w:rsidR="00462A70" w:rsidRPr="00F303DF">
        <w:rPr>
          <w:b/>
          <w:sz w:val="28"/>
          <w:szCs w:val="28"/>
        </w:rPr>
        <w:t>E</w:t>
      </w:r>
      <w:r w:rsidR="00462A70" w:rsidRPr="00F303DF">
        <w:rPr>
          <w:b/>
          <w:sz w:val="23"/>
          <w:szCs w:val="23"/>
        </w:rPr>
        <w:t xml:space="preserve">STATE </w:t>
      </w:r>
      <w:r w:rsidR="00462A70" w:rsidRPr="00F303DF">
        <w:rPr>
          <w:b/>
          <w:sz w:val="28"/>
          <w:szCs w:val="28"/>
        </w:rPr>
        <w:t>P</w:t>
      </w:r>
      <w:r w:rsidR="00FD4232" w:rsidRPr="00F303DF">
        <w:rPr>
          <w:b/>
          <w:sz w:val="23"/>
          <w:szCs w:val="23"/>
        </w:rPr>
        <w:t xml:space="preserve">RICE </w:t>
      </w:r>
      <w:r w:rsidR="00FD4232" w:rsidRPr="00F303DF">
        <w:rPr>
          <w:b/>
          <w:sz w:val="28"/>
          <w:szCs w:val="28"/>
        </w:rPr>
        <w:t>V</w:t>
      </w:r>
      <w:r w:rsidR="00FD4232" w:rsidRPr="00F303DF">
        <w:rPr>
          <w:b/>
          <w:sz w:val="23"/>
          <w:szCs w:val="23"/>
        </w:rPr>
        <w:t>OLATILITY</w:t>
      </w:r>
      <w:r w:rsidR="005872F3" w:rsidRPr="00F303DF">
        <w:rPr>
          <w:b/>
          <w:sz w:val="23"/>
          <w:szCs w:val="23"/>
        </w:rPr>
        <w:t>:</w:t>
      </w:r>
    </w:p>
    <w:p w:rsidR="005872F3" w:rsidRPr="00F303DF" w:rsidRDefault="005872F3" w:rsidP="00462A70">
      <w:pPr>
        <w:pBdr>
          <w:bottom w:val="single" w:sz="6" w:space="1" w:color="auto"/>
        </w:pBdr>
        <w:spacing w:line="360" w:lineRule="auto"/>
        <w:jc w:val="center"/>
        <w:rPr>
          <w:b/>
          <w:sz w:val="23"/>
          <w:szCs w:val="23"/>
        </w:rPr>
      </w:pPr>
      <w:r w:rsidRPr="00F303DF">
        <w:rPr>
          <w:b/>
          <w:sz w:val="28"/>
          <w:szCs w:val="28"/>
        </w:rPr>
        <w:t>C</w:t>
      </w:r>
      <w:r w:rsidRPr="00F303DF">
        <w:rPr>
          <w:b/>
          <w:sz w:val="23"/>
          <w:szCs w:val="23"/>
        </w:rPr>
        <w:t xml:space="preserve">REDIT </w:t>
      </w:r>
      <w:r w:rsidRPr="00F303DF">
        <w:rPr>
          <w:b/>
          <w:sz w:val="28"/>
          <w:szCs w:val="28"/>
        </w:rPr>
        <w:t>P</w:t>
      </w:r>
      <w:r w:rsidRPr="00F303DF">
        <w:rPr>
          <w:b/>
          <w:sz w:val="23"/>
          <w:szCs w:val="23"/>
        </w:rPr>
        <w:t xml:space="preserve">OLICY VS </w:t>
      </w:r>
      <w:r w:rsidRPr="00F303DF">
        <w:rPr>
          <w:b/>
          <w:sz w:val="28"/>
          <w:szCs w:val="28"/>
        </w:rPr>
        <w:t>P</w:t>
      </w:r>
      <w:r w:rsidRPr="00F303DF">
        <w:rPr>
          <w:b/>
          <w:sz w:val="23"/>
          <w:szCs w:val="23"/>
        </w:rPr>
        <w:t xml:space="preserve">ROPERTY </w:t>
      </w:r>
      <w:r w:rsidRPr="00F303DF">
        <w:rPr>
          <w:b/>
          <w:sz w:val="28"/>
          <w:szCs w:val="28"/>
        </w:rPr>
        <w:t>M</w:t>
      </w:r>
      <w:r w:rsidRPr="00F303DF">
        <w:rPr>
          <w:b/>
          <w:sz w:val="23"/>
          <w:szCs w:val="23"/>
        </w:rPr>
        <w:t>ARKETS</w:t>
      </w:r>
    </w:p>
    <w:p w:rsidR="00DB6CA3" w:rsidRPr="00BD253F" w:rsidRDefault="00DB6CA3" w:rsidP="00BD253F">
      <w:pPr>
        <w:spacing w:line="480" w:lineRule="auto"/>
        <w:jc w:val="both"/>
        <w:rPr>
          <w:b/>
          <w:sz w:val="24"/>
          <w:szCs w:val="24"/>
        </w:rPr>
      </w:pPr>
    </w:p>
    <w:p w:rsidR="005B489A" w:rsidRPr="00BD253F" w:rsidRDefault="00C952FD" w:rsidP="00BD253F">
      <w:pPr>
        <w:spacing w:before="120" w:after="120" w:line="480" w:lineRule="auto"/>
        <w:jc w:val="both"/>
        <w:rPr>
          <w:b/>
          <w:sz w:val="24"/>
          <w:szCs w:val="24"/>
        </w:rPr>
      </w:pPr>
      <w:r>
        <w:rPr>
          <w:b/>
          <w:sz w:val="24"/>
          <w:szCs w:val="24"/>
        </w:rPr>
        <w:t>Introduction</w:t>
      </w:r>
    </w:p>
    <w:p w:rsidR="00DB6CA3" w:rsidRDefault="00E02776" w:rsidP="00BD253F">
      <w:pPr>
        <w:spacing w:line="480" w:lineRule="auto"/>
        <w:jc w:val="both"/>
        <w:rPr>
          <w:sz w:val="24"/>
          <w:szCs w:val="24"/>
        </w:rPr>
      </w:pPr>
      <w:r w:rsidRPr="00D5225E">
        <w:rPr>
          <w:i/>
          <w:sz w:val="24"/>
          <w:szCs w:val="24"/>
        </w:rPr>
        <w:t xml:space="preserve">To what extent do fluctuations in credit </w:t>
      </w:r>
      <w:r w:rsidR="00CF499F">
        <w:rPr>
          <w:i/>
          <w:sz w:val="24"/>
          <w:szCs w:val="24"/>
        </w:rPr>
        <w:t xml:space="preserve">policy </w:t>
      </w:r>
      <w:r w:rsidRPr="00D5225E">
        <w:rPr>
          <w:i/>
          <w:sz w:val="24"/>
          <w:szCs w:val="24"/>
        </w:rPr>
        <w:t xml:space="preserve">create volatility in commercial real estate </w:t>
      </w:r>
      <w:r w:rsidR="00D5225E">
        <w:rPr>
          <w:i/>
          <w:sz w:val="24"/>
          <w:szCs w:val="24"/>
        </w:rPr>
        <w:t xml:space="preserve">(CRE) </w:t>
      </w:r>
      <w:r w:rsidRPr="00D5225E">
        <w:rPr>
          <w:i/>
          <w:sz w:val="24"/>
          <w:szCs w:val="24"/>
        </w:rPr>
        <w:t>prices?</w:t>
      </w:r>
      <w:r w:rsidR="00EB538C" w:rsidRPr="00BD253F">
        <w:rPr>
          <w:sz w:val="24"/>
          <w:szCs w:val="24"/>
        </w:rPr>
        <w:t xml:space="preserve"> </w:t>
      </w:r>
      <w:r w:rsidRPr="00BD253F">
        <w:rPr>
          <w:sz w:val="24"/>
          <w:szCs w:val="24"/>
        </w:rPr>
        <w:t xml:space="preserve">To evaluate this question, influence from property market conditions must be controlled, including </w:t>
      </w:r>
      <w:r w:rsidR="00D5225E">
        <w:rPr>
          <w:sz w:val="24"/>
          <w:szCs w:val="24"/>
        </w:rPr>
        <w:t xml:space="preserve">its </w:t>
      </w:r>
      <w:r w:rsidRPr="00BD253F">
        <w:rPr>
          <w:sz w:val="24"/>
          <w:szCs w:val="24"/>
        </w:rPr>
        <w:t xml:space="preserve">covariance with </w:t>
      </w:r>
      <w:r w:rsidR="00D5225E">
        <w:rPr>
          <w:sz w:val="24"/>
          <w:szCs w:val="24"/>
        </w:rPr>
        <w:t xml:space="preserve">CRE </w:t>
      </w:r>
      <w:r w:rsidRPr="00BD253F">
        <w:rPr>
          <w:sz w:val="24"/>
          <w:szCs w:val="24"/>
        </w:rPr>
        <w:t>lending.</w:t>
      </w:r>
      <w:r w:rsidR="00EB538C" w:rsidRPr="00BD253F">
        <w:rPr>
          <w:sz w:val="24"/>
          <w:szCs w:val="24"/>
        </w:rPr>
        <w:t xml:space="preserve"> </w:t>
      </w:r>
      <w:r w:rsidRPr="00BD253F">
        <w:rPr>
          <w:sz w:val="24"/>
          <w:szCs w:val="24"/>
        </w:rPr>
        <w:t xml:space="preserve">The property market component of </w:t>
      </w:r>
      <w:r w:rsidR="00CF499F">
        <w:rPr>
          <w:sz w:val="24"/>
          <w:szCs w:val="24"/>
        </w:rPr>
        <w:t xml:space="preserve">CRE </w:t>
      </w:r>
      <w:r w:rsidRPr="00BD253F">
        <w:rPr>
          <w:sz w:val="24"/>
          <w:szCs w:val="24"/>
        </w:rPr>
        <w:t xml:space="preserve">price volatility </w:t>
      </w:r>
      <w:r w:rsidR="00D5225E">
        <w:rPr>
          <w:sz w:val="24"/>
          <w:szCs w:val="24"/>
        </w:rPr>
        <w:t xml:space="preserve">is </w:t>
      </w:r>
      <w:r w:rsidRPr="00BD253F">
        <w:rPr>
          <w:sz w:val="24"/>
          <w:szCs w:val="24"/>
        </w:rPr>
        <w:t>depicted by rents, vacancies</w:t>
      </w:r>
      <w:r w:rsidR="00E873BA">
        <w:rPr>
          <w:sz w:val="24"/>
          <w:szCs w:val="24"/>
        </w:rPr>
        <w:t>,</w:t>
      </w:r>
      <w:r w:rsidRPr="00BD253F">
        <w:rPr>
          <w:sz w:val="24"/>
          <w:szCs w:val="24"/>
        </w:rPr>
        <w:t xml:space="preserve"> and expenses – or net operating income </w:t>
      </w:r>
      <w:r w:rsidR="00D5225E">
        <w:rPr>
          <w:sz w:val="24"/>
          <w:szCs w:val="24"/>
        </w:rPr>
        <w:t xml:space="preserve">(NOI) </w:t>
      </w:r>
      <w:r w:rsidRPr="00BD253F">
        <w:rPr>
          <w:sz w:val="24"/>
          <w:szCs w:val="24"/>
        </w:rPr>
        <w:t xml:space="preserve">when taken together. </w:t>
      </w:r>
      <w:r w:rsidR="00D5225E">
        <w:rPr>
          <w:sz w:val="24"/>
          <w:szCs w:val="24"/>
        </w:rPr>
        <w:t xml:space="preserve">Shifts in NOI fundamentals are realized in income returns, or yields. </w:t>
      </w:r>
      <w:r w:rsidRPr="00BD253F">
        <w:rPr>
          <w:sz w:val="24"/>
          <w:szCs w:val="24"/>
        </w:rPr>
        <w:t>In addition, financial market</w:t>
      </w:r>
      <w:r w:rsidR="00CF499F">
        <w:rPr>
          <w:sz w:val="24"/>
          <w:szCs w:val="24"/>
        </w:rPr>
        <w:t>s place</w:t>
      </w:r>
      <w:r w:rsidRPr="00BD253F">
        <w:rPr>
          <w:sz w:val="24"/>
          <w:szCs w:val="24"/>
        </w:rPr>
        <w:t xml:space="preserve"> a risk premium on </w:t>
      </w:r>
      <w:r w:rsidR="00D5225E">
        <w:rPr>
          <w:sz w:val="24"/>
          <w:szCs w:val="24"/>
        </w:rPr>
        <w:t xml:space="preserve">CRE </w:t>
      </w:r>
      <w:r w:rsidR="00931C40" w:rsidRPr="00BD253F">
        <w:rPr>
          <w:sz w:val="24"/>
          <w:szCs w:val="24"/>
        </w:rPr>
        <w:t xml:space="preserve">that </w:t>
      </w:r>
      <w:r w:rsidR="00D5225E">
        <w:rPr>
          <w:sz w:val="24"/>
          <w:szCs w:val="24"/>
        </w:rPr>
        <w:t xml:space="preserve">needs to </w:t>
      </w:r>
      <w:r w:rsidR="00931C40" w:rsidRPr="00BD253F">
        <w:rPr>
          <w:sz w:val="24"/>
          <w:szCs w:val="24"/>
        </w:rPr>
        <w:t xml:space="preserve">be </w:t>
      </w:r>
      <w:r w:rsidR="00D5225E">
        <w:rPr>
          <w:sz w:val="24"/>
          <w:szCs w:val="24"/>
        </w:rPr>
        <w:t xml:space="preserve">identified </w:t>
      </w:r>
      <w:r w:rsidR="00931C40" w:rsidRPr="00BD253F">
        <w:rPr>
          <w:sz w:val="24"/>
          <w:szCs w:val="24"/>
        </w:rPr>
        <w:t>and changes over time</w:t>
      </w:r>
      <w:r w:rsidR="00B16277" w:rsidRPr="00BD253F">
        <w:rPr>
          <w:sz w:val="24"/>
          <w:szCs w:val="24"/>
        </w:rPr>
        <w:t>.</w:t>
      </w:r>
      <w:r w:rsidR="00EB538C" w:rsidRPr="00BD253F">
        <w:rPr>
          <w:sz w:val="24"/>
          <w:szCs w:val="24"/>
        </w:rPr>
        <w:t xml:space="preserve"> </w:t>
      </w:r>
    </w:p>
    <w:p w:rsidR="004A3782" w:rsidRPr="00BD253F" w:rsidRDefault="00B16277" w:rsidP="00BD253F">
      <w:pPr>
        <w:spacing w:line="480" w:lineRule="auto"/>
        <w:jc w:val="both"/>
        <w:rPr>
          <w:sz w:val="24"/>
          <w:szCs w:val="24"/>
        </w:rPr>
      </w:pPr>
      <w:r w:rsidRPr="00BD253F">
        <w:rPr>
          <w:sz w:val="24"/>
          <w:szCs w:val="24"/>
        </w:rPr>
        <w:tab/>
      </w:r>
      <w:r w:rsidR="00D5225E">
        <w:rPr>
          <w:sz w:val="24"/>
          <w:szCs w:val="24"/>
        </w:rPr>
        <w:t xml:space="preserve">CRE </w:t>
      </w:r>
      <w:r w:rsidR="00322935" w:rsidRPr="00BD253F">
        <w:rPr>
          <w:sz w:val="24"/>
          <w:szCs w:val="24"/>
        </w:rPr>
        <w:t xml:space="preserve">is a highly heterogeneous asset class, as </w:t>
      </w:r>
      <w:r w:rsidR="00CF499F">
        <w:rPr>
          <w:sz w:val="24"/>
          <w:szCs w:val="24"/>
        </w:rPr>
        <w:t xml:space="preserve">is </w:t>
      </w:r>
      <w:r w:rsidR="00322935" w:rsidRPr="00BD253F">
        <w:rPr>
          <w:sz w:val="24"/>
          <w:szCs w:val="24"/>
        </w:rPr>
        <w:t xml:space="preserve">the </w:t>
      </w:r>
      <w:r w:rsidR="00CF499F">
        <w:rPr>
          <w:sz w:val="24"/>
          <w:szCs w:val="24"/>
        </w:rPr>
        <w:t xml:space="preserve">composition of </w:t>
      </w:r>
      <w:r w:rsidR="00322935" w:rsidRPr="00BD253F">
        <w:rPr>
          <w:sz w:val="24"/>
          <w:szCs w:val="24"/>
        </w:rPr>
        <w:t xml:space="preserve">investors who participate in </w:t>
      </w:r>
      <w:r w:rsidR="00D5225E">
        <w:rPr>
          <w:sz w:val="24"/>
          <w:szCs w:val="24"/>
        </w:rPr>
        <w:t>transactions</w:t>
      </w:r>
      <w:r w:rsidR="00CF499F">
        <w:rPr>
          <w:sz w:val="24"/>
          <w:szCs w:val="24"/>
        </w:rPr>
        <w:t xml:space="preserve"> </w:t>
      </w:r>
      <w:r w:rsidR="00D5225E">
        <w:rPr>
          <w:sz w:val="24"/>
          <w:szCs w:val="24"/>
        </w:rPr>
        <w:t xml:space="preserve">– having </w:t>
      </w:r>
      <w:r w:rsidR="00322935" w:rsidRPr="00BD253F">
        <w:rPr>
          <w:sz w:val="24"/>
          <w:szCs w:val="24"/>
        </w:rPr>
        <w:t>widely-dispersed private valuations</w:t>
      </w:r>
      <w:r w:rsidR="00D5225E">
        <w:rPr>
          <w:sz w:val="24"/>
          <w:szCs w:val="24"/>
        </w:rPr>
        <w:t xml:space="preserve"> for the underlying assets</w:t>
      </w:r>
      <w:r w:rsidR="00322935" w:rsidRPr="00BD253F">
        <w:rPr>
          <w:sz w:val="24"/>
          <w:szCs w:val="24"/>
        </w:rPr>
        <w:t>.</w:t>
      </w:r>
      <w:r w:rsidR="00EB538C" w:rsidRPr="00BD253F">
        <w:rPr>
          <w:sz w:val="24"/>
          <w:szCs w:val="24"/>
        </w:rPr>
        <w:t xml:space="preserve"> </w:t>
      </w:r>
      <w:r w:rsidR="00D5225E">
        <w:rPr>
          <w:sz w:val="24"/>
          <w:szCs w:val="24"/>
        </w:rPr>
        <w:t>CRE a</w:t>
      </w:r>
      <w:r w:rsidR="00322935" w:rsidRPr="00BD253F">
        <w:rPr>
          <w:sz w:val="24"/>
          <w:szCs w:val="24"/>
        </w:rPr>
        <w:t>ssets are illiquid, thinly</w:t>
      </w:r>
      <w:r w:rsidR="00931C40" w:rsidRPr="00BD253F">
        <w:rPr>
          <w:sz w:val="24"/>
          <w:szCs w:val="24"/>
        </w:rPr>
        <w:t>-</w:t>
      </w:r>
      <w:r w:rsidR="00322935" w:rsidRPr="00BD253F">
        <w:rPr>
          <w:sz w:val="24"/>
          <w:szCs w:val="24"/>
        </w:rPr>
        <w:t>traded, and transaction costs</w:t>
      </w:r>
      <w:r w:rsidR="00931C40" w:rsidRPr="00BD253F">
        <w:rPr>
          <w:sz w:val="24"/>
          <w:szCs w:val="24"/>
        </w:rPr>
        <w:t xml:space="preserve"> are high</w:t>
      </w:r>
      <w:r w:rsidR="00322935" w:rsidRPr="00BD253F">
        <w:rPr>
          <w:sz w:val="24"/>
          <w:szCs w:val="24"/>
        </w:rPr>
        <w:t>.</w:t>
      </w:r>
      <w:r w:rsidR="00EB538C" w:rsidRPr="00BD253F">
        <w:rPr>
          <w:sz w:val="24"/>
          <w:szCs w:val="24"/>
        </w:rPr>
        <w:t xml:space="preserve"> </w:t>
      </w:r>
      <w:r w:rsidR="00322935" w:rsidRPr="00BD253F">
        <w:rPr>
          <w:sz w:val="24"/>
          <w:szCs w:val="24"/>
        </w:rPr>
        <w:t xml:space="preserve">Values for assets </w:t>
      </w:r>
      <w:r w:rsidR="00D5225E">
        <w:rPr>
          <w:sz w:val="24"/>
          <w:szCs w:val="24"/>
        </w:rPr>
        <w:t xml:space="preserve">that do not transact remain </w:t>
      </w:r>
      <w:r w:rsidR="00931C40" w:rsidRPr="00BD253F">
        <w:rPr>
          <w:sz w:val="24"/>
          <w:szCs w:val="24"/>
        </w:rPr>
        <w:t>unobserved</w:t>
      </w:r>
      <w:r w:rsidR="00D5225E">
        <w:rPr>
          <w:sz w:val="24"/>
          <w:szCs w:val="24"/>
        </w:rPr>
        <w:t>,</w:t>
      </w:r>
      <w:r w:rsidR="00931C40" w:rsidRPr="00BD253F">
        <w:rPr>
          <w:sz w:val="24"/>
          <w:szCs w:val="24"/>
        </w:rPr>
        <w:t xml:space="preserve"> </w:t>
      </w:r>
      <w:r w:rsidR="007A61BB">
        <w:rPr>
          <w:sz w:val="24"/>
          <w:szCs w:val="24"/>
        </w:rPr>
        <w:t>or may</w:t>
      </w:r>
      <w:r w:rsidR="00D5225E">
        <w:rPr>
          <w:sz w:val="24"/>
          <w:szCs w:val="24"/>
        </w:rPr>
        <w:t xml:space="preserve"> be evaluated using valuation ratios such as a </w:t>
      </w:r>
      <w:r w:rsidR="00322935" w:rsidRPr="00BD253F">
        <w:rPr>
          <w:sz w:val="24"/>
          <w:szCs w:val="24"/>
        </w:rPr>
        <w:t xml:space="preserve">multiple of expected </w:t>
      </w:r>
      <w:r w:rsidR="00D5225E">
        <w:rPr>
          <w:sz w:val="24"/>
          <w:szCs w:val="24"/>
        </w:rPr>
        <w:t xml:space="preserve">NOI – as in the </w:t>
      </w:r>
      <w:r w:rsidR="00322935" w:rsidRPr="00BD253F">
        <w:rPr>
          <w:sz w:val="24"/>
          <w:szCs w:val="24"/>
        </w:rPr>
        <w:t>cap rate</w:t>
      </w:r>
      <w:r w:rsidR="00D5225E">
        <w:rPr>
          <w:sz w:val="24"/>
          <w:szCs w:val="24"/>
        </w:rPr>
        <w:t xml:space="preserve">. </w:t>
      </w:r>
      <w:r w:rsidR="00931C40" w:rsidRPr="00BD253F">
        <w:rPr>
          <w:sz w:val="24"/>
          <w:szCs w:val="24"/>
        </w:rPr>
        <w:t>R</w:t>
      </w:r>
      <w:r w:rsidR="004A3782" w:rsidRPr="00BD253F">
        <w:rPr>
          <w:sz w:val="24"/>
          <w:szCs w:val="24"/>
        </w:rPr>
        <w:t>esult</w:t>
      </w:r>
      <w:r w:rsidR="00931C40" w:rsidRPr="00BD253F">
        <w:rPr>
          <w:sz w:val="24"/>
          <w:szCs w:val="24"/>
        </w:rPr>
        <w:t>ing</w:t>
      </w:r>
      <w:r w:rsidR="00322935" w:rsidRPr="00BD253F">
        <w:rPr>
          <w:sz w:val="24"/>
          <w:szCs w:val="24"/>
        </w:rPr>
        <w:t xml:space="preserve"> </w:t>
      </w:r>
      <w:r w:rsidR="00931C40" w:rsidRPr="00BD253F">
        <w:rPr>
          <w:sz w:val="24"/>
          <w:szCs w:val="24"/>
        </w:rPr>
        <w:t xml:space="preserve">from </w:t>
      </w:r>
      <w:r w:rsidR="00322935" w:rsidRPr="00BD253F">
        <w:rPr>
          <w:sz w:val="24"/>
          <w:szCs w:val="24"/>
        </w:rPr>
        <w:t>these conditions</w:t>
      </w:r>
      <w:r w:rsidR="004A3782" w:rsidRPr="00BD253F">
        <w:rPr>
          <w:sz w:val="24"/>
          <w:szCs w:val="24"/>
        </w:rPr>
        <w:t xml:space="preserve">, asset prices are </w:t>
      </w:r>
      <w:r w:rsidR="00322935" w:rsidRPr="00BD253F">
        <w:rPr>
          <w:sz w:val="24"/>
          <w:szCs w:val="24"/>
        </w:rPr>
        <w:t xml:space="preserve">inherently </w:t>
      </w:r>
      <w:r w:rsidR="004A3782" w:rsidRPr="00BD253F">
        <w:rPr>
          <w:sz w:val="24"/>
          <w:szCs w:val="24"/>
        </w:rPr>
        <w:t>volatile.</w:t>
      </w:r>
      <w:r w:rsidR="00EB538C" w:rsidRPr="00BD253F">
        <w:rPr>
          <w:sz w:val="24"/>
          <w:szCs w:val="24"/>
        </w:rPr>
        <w:t xml:space="preserve"> </w:t>
      </w:r>
      <w:r w:rsidR="00322935" w:rsidRPr="00BD253F">
        <w:rPr>
          <w:sz w:val="24"/>
          <w:szCs w:val="24"/>
        </w:rPr>
        <w:t xml:space="preserve">From </w:t>
      </w:r>
      <w:r w:rsidR="00D5225E">
        <w:rPr>
          <w:sz w:val="24"/>
          <w:szCs w:val="24"/>
        </w:rPr>
        <w:t xml:space="preserve">NCREIF, cap rates </w:t>
      </w:r>
      <w:r w:rsidR="00CF499F">
        <w:rPr>
          <w:sz w:val="24"/>
          <w:szCs w:val="24"/>
        </w:rPr>
        <w:t>in the U.S. on the</w:t>
      </w:r>
      <w:r w:rsidR="00D5225E">
        <w:rPr>
          <w:sz w:val="24"/>
          <w:szCs w:val="24"/>
        </w:rPr>
        <w:t xml:space="preserve"> series of all CRE property types have implied NOI multiples rangin</w:t>
      </w:r>
      <w:r w:rsidR="0038316E">
        <w:rPr>
          <w:sz w:val="24"/>
          <w:szCs w:val="24"/>
        </w:rPr>
        <w:t>g</w:t>
      </w:r>
      <w:r w:rsidR="00D5225E">
        <w:rPr>
          <w:sz w:val="24"/>
          <w:szCs w:val="24"/>
        </w:rPr>
        <w:t xml:space="preserve"> from as low </w:t>
      </w:r>
      <w:r w:rsidR="0038316E">
        <w:rPr>
          <w:sz w:val="24"/>
          <w:szCs w:val="24"/>
        </w:rPr>
        <w:t xml:space="preserve">as </w:t>
      </w:r>
      <w:r w:rsidR="00D5225E">
        <w:rPr>
          <w:sz w:val="24"/>
          <w:szCs w:val="24"/>
        </w:rPr>
        <w:t>9</w:t>
      </w:r>
      <w:r w:rsidR="0038316E">
        <w:rPr>
          <w:sz w:val="24"/>
          <w:szCs w:val="24"/>
        </w:rPr>
        <w:t xml:space="preserve"> times NOI to as high as 18.4 during peak valuations of 2007</w:t>
      </w:r>
      <w:r w:rsidR="00D5225E">
        <w:rPr>
          <w:sz w:val="24"/>
          <w:szCs w:val="24"/>
        </w:rPr>
        <w:t xml:space="preserve">. </w:t>
      </w:r>
      <w:r w:rsidR="00CF499F">
        <w:rPr>
          <w:sz w:val="24"/>
          <w:szCs w:val="24"/>
        </w:rPr>
        <w:t xml:space="preserve">During the run-up from </w:t>
      </w:r>
      <w:r w:rsidR="0038316E">
        <w:rPr>
          <w:sz w:val="24"/>
          <w:szCs w:val="24"/>
        </w:rPr>
        <w:t>2003</w:t>
      </w:r>
      <w:r w:rsidR="004A3782" w:rsidRPr="00BD253F">
        <w:rPr>
          <w:sz w:val="24"/>
          <w:szCs w:val="24"/>
        </w:rPr>
        <w:t xml:space="preserve"> </w:t>
      </w:r>
      <w:r w:rsidR="006821D1" w:rsidRPr="00BD253F">
        <w:rPr>
          <w:sz w:val="24"/>
          <w:szCs w:val="24"/>
        </w:rPr>
        <w:t xml:space="preserve">to </w:t>
      </w:r>
      <w:r w:rsidR="0038316E">
        <w:rPr>
          <w:sz w:val="24"/>
          <w:szCs w:val="24"/>
        </w:rPr>
        <w:t>2007</w:t>
      </w:r>
      <w:r w:rsidR="006821D1" w:rsidRPr="00BD253F">
        <w:rPr>
          <w:sz w:val="24"/>
          <w:szCs w:val="24"/>
        </w:rPr>
        <w:t xml:space="preserve">, </w:t>
      </w:r>
      <w:r w:rsidR="00CF499F">
        <w:rPr>
          <w:sz w:val="24"/>
          <w:szCs w:val="24"/>
        </w:rPr>
        <w:t xml:space="preserve">CRE </w:t>
      </w:r>
      <w:r w:rsidR="0038316E">
        <w:rPr>
          <w:sz w:val="24"/>
          <w:szCs w:val="24"/>
        </w:rPr>
        <w:t>prices rise 47</w:t>
      </w:r>
      <w:r w:rsidR="00CE7C0A">
        <w:rPr>
          <w:sz w:val="24"/>
          <w:szCs w:val="24"/>
        </w:rPr>
        <w:t xml:space="preserve"> percent</w:t>
      </w:r>
      <w:r w:rsidR="006821D1" w:rsidRPr="00BD253F">
        <w:rPr>
          <w:sz w:val="24"/>
          <w:szCs w:val="24"/>
        </w:rPr>
        <w:t xml:space="preserve">, only to </w:t>
      </w:r>
      <w:r w:rsidR="0038316E">
        <w:rPr>
          <w:sz w:val="24"/>
          <w:szCs w:val="24"/>
        </w:rPr>
        <w:t>return to 2003</w:t>
      </w:r>
      <w:r w:rsidR="006821D1" w:rsidRPr="00BD253F">
        <w:rPr>
          <w:sz w:val="24"/>
          <w:szCs w:val="24"/>
        </w:rPr>
        <w:t xml:space="preserve"> leve</w:t>
      </w:r>
      <w:r w:rsidR="0038316E">
        <w:rPr>
          <w:sz w:val="24"/>
          <w:szCs w:val="24"/>
        </w:rPr>
        <w:t>ls by the end of 2009</w:t>
      </w:r>
      <w:r w:rsidR="00CF499F">
        <w:rPr>
          <w:sz w:val="24"/>
          <w:szCs w:val="24"/>
        </w:rPr>
        <w:t>;</w:t>
      </w:r>
      <w:r w:rsidR="0038316E">
        <w:rPr>
          <w:sz w:val="24"/>
          <w:szCs w:val="24"/>
        </w:rPr>
        <w:t xml:space="preserve"> rising</w:t>
      </w:r>
      <w:r w:rsidR="006821D1" w:rsidRPr="00BD253F">
        <w:rPr>
          <w:sz w:val="24"/>
          <w:szCs w:val="24"/>
        </w:rPr>
        <w:t xml:space="preserve"> again </w:t>
      </w:r>
      <w:r w:rsidR="0038316E">
        <w:rPr>
          <w:sz w:val="24"/>
          <w:szCs w:val="24"/>
        </w:rPr>
        <w:t>31</w:t>
      </w:r>
      <w:r w:rsidR="00CE7C0A">
        <w:rPr>
          <w:sz w:val="24"/>
          <w:szCs w:val="24"/>
        </w:rPr>
        <w:t xml:space="preserve"> percent</w:t>
      </w:r>
      <w:r w:rsidR="0038316E">
        <w:rPr>
          <w:sz w:val="24"/>
          <w:szCs w:val="24"/>
        </w:rPr>
        <w:t xml:space="preserve"> </w:t>
      </w:r>
      <w:r w:rsidR="00CF499F">
        <w:rPr>
          <w:sz w:val="24"/>
          <w:szCs w:val="24"/>
        </w:rPr>
        <w:t xml:space="preserve">by </w:t>
      </w:r>
      <w:r w:rsidR="0038316E">
        <w:rPr>
          <w:sz w:val="24"/>
          <w:szCs w:val="24"/>
        </w:rPr>
        <w:t>mid-2014.</w:t>
      </w:r>
      <w:r w:rsidR="00EB538C" w:rsidRPr="00BD253F">
        <w:rPr>
          <w:sz w:val="24"/>
          <w:szCs w:val="24"/>
        </w:rPr>
        <w:t xml:space="preserve"> </w:t>
      </w:r>
      <w:r w:rsidR="0038316E">
        <w:rPr>
          <w:sz w:val="24"/>
          <w:szCs w:val="24"/>
        </w:rPr>
        <w:t xml:space="preserve">CRE </w:t>
      </w:r>
      <w:r w:rsidR="006821D1" w:rsidRPr="00BD253F">
        <w:rPr>
          <w:sz w:val="24"/>
          <w:szCs w:val="24"/>
        </w:rPr>
        <w:t xml:space="preserve">prices </w:t>
      </w:r>
      <w:r w:rsidR="00931C40" w:rsidRPr="00BD253F">
        <w:rPr>
          <w:sz w:val="24"/>
          <w:szCs w:val="24"/>
        </w:rPr>
        <w:t>vary significantly</w:t>
      </w:r>
      <w:r w:rsidR="00CF499F">
        <w:rPr>
          <w:sz w:val="24"/>
          <w:szCs w:val="24"/>
        </w:rPr>
        <w:t>, particularly</w:t>
      </w:r>
      <w:r w:rsidR="00931C40" w:rsidRPr="00BD253F">
        <w:rPr>
          <w:sz w:val="24"/>
          <w:szCs w:val="24"/>
        </w:rPr>
        <w:t xml:space="preserve"> </w:t>
      </w:r>
      <w:r w:rsidR="006821D1" w:rsidRPr="00BD253F">
        <w:rPr>
          <w:sz w:val="24"/>
          <w:szCs w:val="24"/>
        </w:rPr>
        <w:t xml:space="preserve">during </w:t>
      </w:r>
      <w:r w:rsidR="00BE52DA" w:rsidRPr="00BD253F">
        <w:rPr>
          <w:sz w:val="24"/>
          <w:szCs w:val="24"/>
        </w:rPr>
        <w:t xml:space="preserve">the </w:t>
      </w:r>
      <w:r w:rsidR="0038316E">
        <w:rPr>
          <w:sz w:val="24"/>
          <w:szCs w:val="24"/>
        </w:rPr>
        <w:t>2003</w:t>
      </w:r>
      <w:r w:rsidR="00BE52DA" w:rsidRPr="00BD253F">
        <w:rPr>
          <w:sz w:val="24"/>
          <w:szCs w:val="24"/>
        </w:rPr>
        <w:t xml:space="preserve"> to </w:t>
      </w:r>
      <w:r w:rsidR="0038316E">
        <w:rPr>
          <w:sz w:val="24"/>
          <w:szCs w:val="24"/>
        </w:rPr>
        <w:t>2014</w:t>
      </w:r>
      <w:r w:rsidR="00BE52DA" w:rsidRPr="00BD253F">
        <w:rPr>
          <w:sz w:val="24"/>
          <w:szCs w:val="24"/>
        </w:rPr>
        <w:t xml:space="preserve"> period</w:t>
      </w:r>
      <w:r w:rsidR="006821D1" w:rsidRPr="00BD253F">
        <w:rPr>
          <w:sz w:val="24"/>
          <w:szCs w:val="24"/>
        </w:rPr>
        <w:t>.</w:t>
      </w:r>
      <w:r w:rsidR="004A3782" w:rsidRPr="00BD253F">
        <w:rPr>
          <w:sz w:val="24"/>
          <w:szCs w:val="24"/>
        </w:rPr>
        <w:t xml:space="preserve"> </w:t>
      </w:r>
    </w:p>
    <w:p w:rsidR="006821D1" w:rsidRPr="00BD253F" w:rsidRDefault="006821D1" w:rsidP="00BD253F">
      <w:pPr>
        <w:spacing w:line="480" w:lineRule="auto"/>
        <w:jc w:val="both"/>
        <w:rPr>
          <w:sz w:val="24"/>
          <w:szCs w:val="24"/>
        </w:rPr>
      </w:pPr>
      <w:r w:rsidRPr="00BD253F">
        <w:rPr>
          <w:sz w:val="24"/>
          <w:szCs w:val="24"/>
        </w:rPr>
        <w:lastRenderedPageBreak/>
        <w:tab/>
        <w:t xml:space="preserve">What has failed to </w:t>
      </w:r>
      <w:r w:rsidR="0038316E">
        <w:rPr>
          <w:sz w:val="24"/>
          <w:szCs w:val="24"/>
        </w:rPr>
        <w:t xml:space="preserve">fluctuate </w:t>
      </w:r>
      <w:r w:rsidRPr="00BD253F">
        <w:rPr>
          <w:sz w:val="24"/>
          <w:szCs w:val="24"/>
        </w:rPr>
        <w:t xml:space="preserve">by the same magnitudes are market values for </w:t>
      </w:r>
      <w:r w:rsidR="0038316E">
        <w:rPr>
          <w:sz w:val="24"/>
          <w:szCs w:val="24"/>
        </w:rPr>
        <w:t xml:space="preserve">CRE </w:t>
      </w:r>
      <w:r w:rsidR="004A3782" w:rsidRPr="00BD253F">
        <w:rPr>
          <w:sz w:val="24"/>
          <w:szCs w:val="24"/>
        </w:rPr>
        <w:t>rents, vacancies</w:t>
      </w:r>
      <w:r w:rsidR="00E873BA">
        <w:rPr>
          <w:sz w:val="24"/>
          <w:szCs w:val="24"/>
        </w:rPr>
        <w:t>,</w:t>
      </w:r>
      <w:r w:rsidR="004A3782" w:rsidRPr="00BD253F">
        <w:rPr>
          <w:sz w:val="24"/>
          <w:szCs w:val="24"/>
        </w:rPr>
        <w:t xml:space="preserve"> and operating expenses</w:t>
      </w:r>
      <w:r w:rsidRPr="00BD253F">
        <w:rPr>
          <w:sz w:val="24"/>
          <w:szCs w:val="24"/>
        </w:rPr>
        <w:t xml:space="preserve"> – representing </w:t>
      </w:r>
      <w:r w:rsidR="00CF499F">
        <w:rPr>
          <w:sz w:val="24"/>
          <w:szCs w:val="24"/>
        </w:rPr>
        <w:t xml:space="preserve">the fundamentals, or </w:t>
      </w:r>
      <w:r w:rsidRPr="00BD253F">
        <w:rPr>
          <w:sz w:val="24"/>
          <w:szCs w:val="24"/>
        </w:rPr>
        <w:t xml:space="preserve">operating cash flows from </w:t>
      </w:r>
      <w:r w:rsidR="00CF499F">
        <w:rPr>
          <w:sz w:val="24"/>
          <w:szCs w:val="24"/>
        </w:rPr>
        <w:t xml:space="preserve">the </w:t>
      </w:r>
      <w:r w:rsidRPr="00BD253F">
        <w:rPr>
          <w:sz w:val="24"/>
          <w:szCs w:val="24"/>
        </w:rPr>
        <w:t>underlying property market.</w:t>
      </w:r>
      <w:r w:rsidR="00EB538C" w:rsidRPr="00BD253F">
        <w:rPr>
          <w:sz w:val="24"/>
          <w:szCs w:val="24"/>
        </w:rPr>
        <w:t xml:space="preserve"> </w:t>
      </w:r>
      <w:r w:rsidR="004A3782" w:rsidRPr="00BD253F">
        <w:rPr>
          <w:sz w:val="24"/>
          <w:szCs w:val="24"/>
        </w:rPr>
        <w:t xml:space="preserve">Instead, </w:t>
      </w:r>
      <w:r w:rsidR="00931C40" w:rsidRPr="00BD253F">
        <w:rPr>
          <w:sz w:val="24"/>
          <w:szCs w:val="24"/>
        </w:rPr>
        <w:t xml:space="preserve">the </w:t>
      </w:r>
      <w:r w:rsidR="00CB5AB2" w:rsidRPr="00BD253F">
        <w:rPr>
          <w:sz w:val="24"/>
          <w:szCs w:val="24"/>
        </w:rPr>
        <w:t xml:space="preserve">most </w:t>
      </w:r>
      <w:r w:rsidR="00931C40" w:rsidRPr="00BD253F">
        <w:rPr>
          <w:sz w:val="24"/>
          <w:szCs w:val="24"/>
        </w:rPr>
        <w:t xml:space="preserve">dramatic adjustments </w:t>
      </w:r>
      <w:r w:rsidR="00BE52DA" w:rsidRPr="00BD253F">
        <w:rPr>
          <w:sz w:val="24"/>
          <w:szCs w:val="24"/>
        </w:rPr>
        <w:t xml:space="preserve">were realized </w:t>
      </w:r>
      <w:r w:rsidR="00931C40" w:rsidRPr="00BD253F">
        <w:rPr>
          <w:sz w:val="24"/>
          <w:szCs w:val="24"/>
        </w:rPr>
        <w:t xml:space="preserve">in </w:t>
      </w:r>
      <w:r w:rsidR="00BE52DA" w:rsidRPr="00BD253F">
        <w:rPr>
          <w:sz w:val="24"/>
          <w:szCs w:val="24"/>
        </w:rPr>
        <w:t xml:space="preserve">the </w:t>
      </w:r>
      <w:r w:rsidR="00931C40" w:rsidRPr="00BD253F">
        <w:rPr>
          <w:sz w:val="24"/>
          <w:szCs w:val="24"/>
        </w:rPr>
        <w:t>capital market</w:t>
      </w:r>
      <w:r w:rsidR="00BE52DA" w:rsidRPr="00BD253F">
        <w:rPr>
          <w:sz w:val="24"/>
          <w:szCs w:val="24"/>
        </w:rPr>
        <w:t>s</w:t>
      </w:r>
      <w:r w:rsidR="004A3782" w:rsidRPr="00BD253F">
        <w:rPr>
          <w:sz w:val="24"/>
          <w:szCs w:val="24"/>
        </w:rPr>
        <w:t>.</w:t>
      </w:r>
      <w:r w:rsidR="00EB538C" w:rsidRPr="00BD253F">
        <w:rPr>
          <w:sz w:val="24"/>
          <w:szCs w:val="24"/>
        </w:rPr>
        <w:t xml:space="preserve"> </w:t>
      </w:r>
      <w:r w:rsidR="00CB5AB2" w:rsidRPr="00BD253F">
        <w:rPr>
          <w:sz w:val="24"/>
          <w:szCs w:val="24"/>
        </w:rPr>
        <w:t xml:space="preserve">While financial risk premia adjusted continuously, responding to monetary policy and </w:t>
      </w:r>
      <w:r w:rsidR="00CF499F">
        <w:rPr>
          <w:sz w:val="24"/>
          <w:szCs w:val="24"/>
        </w:rPr>
        <w:t>to indicators from the macro-</w:t>
      </w:r>
      <w:r w:rsidR="00CB5AB2" w:rsidRPr="00BD253F">
        <w:rPr>
          <w:sz w:val="24"/>
          <w:szCs w:val="24"/>
        </w:rPr>
        <w:t>economy</w:t>
      </w:r>
      <w:r w:rsidR="00092531">
        <w:rPr>
          <w:sz w:val="24"/>
          <w:szCs w:val="24"/>
        </w:rPr>
        <w:t>,</w:t>
      </w:r>
      <w:r w:rsidR="00CB5AB2" w:rsidRPr="00BD253F">
        <w:rPr>
          <w:sz w:val="24"/>
          <w:szCs w:val="24"/>
        </w:rPr>
        <w:t xml:space="preserve"> so too did the policies of </w:t>
      </w:r>
      <w:r w:rsidR="0038316E">
        <w:rPr>
          <w:sz w:val="24"/>
          <w:szCs w:val="24"/>
        </w:rPr>
        <w:t xml:space="preserve">CRE </w:t>
      </w:r>
      <w:r w:rsidR="00CB5AB2" w:rsidRPr="00BD253F">
        <w:rPr>
          <w:sz w:val="24"/>
          <w:szCs w:val="24"/>
        </w:rPr>
        <w:t>lenders.</w:t>
      </w:r>
      <w:r w:rsidR="00EB538C" w:rsidRPr="00BD253F">
        <w:rPr>
          <w:sz w:val="24"/>
          <w:szCs w:val="24"/>
        </w:rPr>
        <w:t xml:space="preserve"> </w:t>
      </w:r>
      <w:r w:rsidR="00CB5AB2" w:rsidRPr="00BD253F">
        <w:rPr>
          <w:sz w:val="24"/>
          <w:szCs w:val="24"/>
        </w:rPr>
        <w:t>Credit availability seized up following the stock market collapse</w:t>
      </w:r>
      <w:r w:rsidR="00CF499F">
        <w:rPr>
          <w:sz w:val="24"/>
          <w:szCs w:val="24"/>
        </w:rPr>
        <w:t xml:space="preserve"> in 2008</w:t>
      </w:r>
      <w:r w:rsidR="00926DE0" w:rsidRPr="00BD253F">
        <w:rPr>
          <w:sz w:val="24"/>
          <w:szCs w:val="24"/>
        </w:rPr>
        <w:t xml:space="preserve"> </w:t>
      </w:r>
      <w:r w:rsidR="00CF499F">
        <w:rPr>
          <w:sz w:val="24"/>
          <w:szCs w:val="24"/>
        </w:rPr>
        <w:t xml:space="preserve">with </w:t>
      </w:r>
      <w:r w:rsidR="00926DE0" w:rsidRPr="00BD253F">
        <w:rPr>
          <w:sz w:val="24"/>
          <w:szCs w:val="24"/>
        </w:rPr>
        <w:t xml:space="preserve">CMBS issuance </w:t>
      </w:r>
      <w:r w:rsidR="00CF499F">
        <w:rPr>
          <w:sz w:val="24"/>
          <w:szCs w:val="24"/>
        </w:rPr>
        <w:t>virtually disappearing</w:t>
      </w:r>
      <w:r w:rsidR="00931C40" w:rsidRPr="00BD253F">
        <w:rPr>
          <w:sz w:val="24"/>
          <w:szCs w:val="24"/>
        </w:rPr>
        <w:t xml:space="preserve"> </w:t>
      </w:r>
      <w:r w:rsidR="00926DE0" w:rsidRPr="00BD253F">
        <w:rPr>
          <w:sz w:val="24"/>
          <w:szCs w:val="24"/>
        </w:rPr>
        <w:t xml:space="preserve">from the </w:t>
      </w:r>
      <w:r w:rsidR="006D10C1">
        <w:rPr>
          <w:sz w:val="24"/>
          <w:szCs w:val="24"/>
        </w:rPr>
        <w:t xml:space="preserve">CRE </w:t>
      </w:r>
      <w:r w:rsidR="005F45D4">
        <w:rPr>
          <w:sz w:val="24"/>
          <w:szCs w:val="24"/>
        </w:rPr>
        <w:t>finance</w:t>
      </w:r>
      <w:r w:rsidR="006D10C1">
        <w:rPr>
          <w:sz w:val="24"/>
          <w:szCs w:val="24"/>
        </w:rPr>
        <w:t xml:space="preserve"> </w:t>
      </w:r>
      <w:r w:rsidR="00926DE0" w:rsidRPr="00BD253F">
        <w:rPr>
          <w:sz w:val="24"/>
          <w:szCs w:val="24"/>
        </w:rPr>
        <w:t>landscape</w:t>
      </w:r>
      <w:r w:rsidR="00CB5AB2" w:rsidRPr="00BD253F">
        <w:rPr>
          <w:sz w:val="24"/>
          <w:szCs w:val="24"/>
        </w:rPr>
        <w:t>.</w:t>
      </w:r>
      <w:r w:rsidR="00EB538C" w:rsidRPr="00BD253F">
        <w:rPr>
          <w:sz w:val="24"/>
          <w:szCs w:val="24"/>
        </w:rPr>
        <w:t xml:space="preserve"> </w:t>
      </w:r>
      <w:r w:rsidR="00484695">
        <w:rPr>
          <w:sz w:val="24"/>
          <w:szCs w:val="24"/>
        </w:rPr>
        <w:t>L</w:t>
      </w:r>
      <w:r w:rsidR="00CF499F">
        <w:rPr>
          <w:sz w:val="24"/>
          <w:szCs w:val="24"/>
        </w:rPr>
        <w:t xml:space="preserve">enders </w:t>
      </w:r>
      <w:r w:rsidR="00CB5AB2" w:rsidRPr="00BD253F">
        <w:rPr>
          <w:sz w:val="24"/>
          <w:szCs w:val="24"/>
        </w:rPr>
        <w:t>repo</w:t>
      </w:r>
      <w:r w:rsidR="00CF499F">
        <w:rPr>
          <w:sz w:val="24"/>
          <w:szCs w:val="24"/>
        </w:rPr>
        <w:t>rt</w:t>
      </w:r>
      <w:r w:rsidR="00CB5AB2" w:rsidRPr="00BD253F">
        <w:rPr>
          <w:sz w:val="24"/>
          <w:szCs w:val="24"/>
        </w:rPr>
        <w:t xml:space="preserve"> net tightening in</w:t>
      </w:r>
      <w:r w:rsidR="00926DE0" w:rsidRPr="00BD253F">
        <w:rPr>
          <w:sz w:val="24"/>
          <w:szCs w:val="24"/>
        </w:rPr>
        <w:t xml:space="preserve"> </w:t>
      </w:r>
      <w:r w:rsidR="0038316E">
        <w:rPr>
          <w:sz w:val="24"/>
          <w:szCs w:val="24"/>
        </w:rPr>
        <w:t xml:space="preserve">CRE </w:t>
      </w:r>
      <w:r w:rsidR="00926DE0" w:rsidRPr="00BD253F">
        <w:rPr>
          <w:sz w:val="24"/>
          <w:szCs w:val="24"/>
        </w:rPr>
        <w:t xml:space="preserve">underwriting standards </w:t>
      </w:r>
      <w:r w:rsidR="00CB5AB2" w:rsidRPr="00BD253F">
        <w:rPr>
          <w:sz w:val="24"/>
          <w:szCs w:val="24"/>
        </w:rPr>
        <w:t>quarter-over-quarter for an extended period</w:t>
      </w:r>
      <w:r w:rsidR="00926DE0" w:rsidRPr="00BD253F">
        <w:rPr>
          <w:sz w:val="24"/>
          <w:szCs w:val="24"/>
        </w:rPr>
        <w:t>.</w:t>
      </w:r>
      <w:r w:rsidR="00EB538C" w:rsidRPr="00BD253F">
        <w:rPr>
          <w:sz w:val="24"/>
          <w:szCs w:val="24"/>
        </w:rPr>
        <w:t xml:space="preserve"> </w:t>
      </w:r>
      <w:r w:rsidR="00CB5AB2" w:rsidRPr="00BD253F">
        <w:rPr>
          <w:sz w:val="24"/>
          <w:szCs w:val="24"/>
        </w:rPr>
        <w:t xml:space="preserve">Then, just as abruptly as the lending spigot </w:t>
      </w:r>
      <w:r w:rsidR="00931C40" w:rsidRPr="00BD253F">
        <w:rPr>
          <w:sz w:val="24"/>
          <w:szCs w:val="24"/>
        </w:rPr>
        <w:t xml:space="preserve">had been shut </w:t>
      </w:r>
      <w:r w:rsidR="00CB5AB2" w:rsidRPr="00BD253F">
        <w:rPr>
          <w:sz w:val="24"/>
          <w:szCs w:val="24"/>
        </w:rPr>
        <w:t xml:space="preserve">off, it turned back on and </w:t>
      </w:r>
      <w:r w:rsidR="0038316E">
        <w:rPr>
          <w:sz w:val="24"/>
          <w:szCs w:val="24"/>
        </w:rPr>
        <w:t xml:space="preserve">CRE </w:t>
      </w:r>
      <w:r w:rsidR="00CB5AB2" w:rsidRPr="00BD253F">
        <w:rPr>
          <w:sz w:val="24"/>
          <w:szCs w:val="24"/>
        </w:rPr>
        <w:t>credit began to flow once again.</w:t>
      </w:r>
    </w:p>
    <w:p w:rsidR="00EB538C" w:rsidRPr="00BD253F" w:rsidRDefault="00CB5AB2" w:rsidP="00BD253F">
      <w:pPr>
        <w:spacing w:line="480" w:lineRule="auto"/>
        <w:jc w:val="both"/>
        <w:rPr>
          <w:sz w:val="24"/>
          <w:szCs w:val="24"/>
        </w:rPr>
      </w:pPr>
      <w:r w:rsidRPr="00BD253F">
        <w:rPr>
          <w:sz w:val="24"/>
          <w:szCs w:val="24"/>
        </w:rPr>
        <w:tab/>
        <w:t xml:space="preserve">This research </w:t>
      </w:r>
      <w:r w:rsidR="00484695">
        <w:rPr>
          <w:sz w:val="24"/>
          <w:szCs w:val="24"/>
        </w:rPr>
        <w:t xml:space="preserve">study </w:t>
      </w:r>
      <w:r w:rsidR="00B052F4" w:rsidRPr="00BD253F">
        <w:rPr>
          <w:sz w:val="24"/>
          <w:szCs w:val="24"/>
        </w:rPr>
        <w:t xml:space="preserve">considers </w:t>
      </w:r>
      <w:r w:rsidR="00BE52DA" w:rsidRPr="00BD253F">
        <w:rPr>
          <w:sz w:val="24"/>
          <w:szCs w:val="24"/>
        </w:rPr>
        <w:t xml:space="preserve">the role of </w:t>
      </w:r>
      <w:r w:rsidR="00B052F4" w:rsidRPr="00BD253F">
        <w:rPr>
          <w:sz w:val="24"/>
          <w:szCs w:val="24"/>
        </w:rPr>
        <w:t xml:space="preserve">lenders as gatekeepers </w:t>
      </w:r>
      <w:r w:rsidR="0038316E">
        <w:rPr>
          <w:sz w:val="24"/>
          <w:szCs w:val="24"/>
        </w:rPr>
        <w:t xml:space="preserve">to CRE </w:t>
      </w:r>
      <w:r w:rsidR="00B052F4" w:rsidRPr="00BD253F">
        <w:rPr>
          <w:sz w:val="24"/>
          <w:szCs w:val="24"/>
        </w:rPr>
        <w:t>investment.</w:t>
      </w:r>
      <w:r w:rsidR="00EB538C" w:rsidRPr="00BD253F">
        <w:rPr>
          <w:sz w:val="24"/>
          <w:szCs w:val="24"/>
        </w:rPr>
        <w:t xml:space="preserve"> </w:t>
      </w:r>
      <w:r w:rsidR="00B052F4" w:rsidRPr="00BD253F">
        <w:rPr>
          <w:sz w:val="24"/>
          <w:szCs w:val="24"/>
        </w:rPr>
        <w:t>When debt is unavailable</w:t>
      </w:r>
      <w:r w:rsidR="00484695">
        <w:rPr>
          <w:sz w:val="24"/>
          <w:szCs w:val="24"/>
        </w:rPr>
        <w:t xml:space="preserve"> or </w:t>
      </w:r>
      <w:r w:rsidR="00092531">
        <w:rPr>
          <w:sz w:val="24"/>
          <w:szCs w:val="24"/>
        </w:rPr>
        <w:t xml:space="preserve">overly </w:t>
      </w:r>
      <w:r w:rsidR="00484695">
        <w:rPr>
          <w:sz w:val="24"/>
          <w:szCs w:val="24"/>
        </w:rPr>
        <w:t>restrictive</w:t>
      </w:r>
      <w:r w:rsidR="00B052F4" w:rsidRPr="00BD253F">
        <w:rPr>
          <w:sz w:val="24"/>
          <w:szCs w:val="24"/>
        </w:rPr>
        <w:t xml:space="preserve">, there are few investors and </w:t>
      </w:r>
      <w:r w:rsidR="00484695">
        <w:rPr>
          <w:sz w:val="24"/>
          <w:szCs w:val="24"/>
        </w:rPr>
        <w:t>CRE valuations are disciplined by equity</w:t>
      </w:r>
      <w:r w:rsidR="00B052F4" w:rsidRPr="00BD253F">
        <w:rPr>
          <w:sz w:val="24"/>
          <w:szCs w:val="24"/>
        </w:rPr>
        <w:t>.</w:t>
      </w:r>
      <w:r w:rsidR="00EB538C" w:rsidRPr="00BD253F">
        <w:rPr>
          <w:sz w:val="24"/>
          <w:szCs w:val="24"/>
        </w:rPr>
        <w:t xml:space="preserve"> </w:t>
      </w:r>
      <w:r w:rsidR="00B052F4" w:rsidRPr="00BD253F">
        <w:rPr>
          <w:sz w:val="24"/>
          <w:szCs w:val="24"/>
        </w:rPr>
        <w:t xml:space="preserve">When debt is superfluous, there </w:t>
      </w:r>
      <w:r w:rsidR="00484695">
        <w:rPr>
          <w:sz w:val="24"/>
          <w:szCs w:val="24"/>
        </w:rPr>
        <w:t xml:space="preserve">is competition among lenders </w:t>
      </w:r>
      <w:r w:rsidR="003478E0">
        <w:rPr>
          <w:sz w:val="24"/>
          <w:szCs w:val="24"/>
        </w:rPr>
        <w:t>allowing valuations to rise</w:t>
      </w:r>
      <w:r w:rsidR="00B052F4" w:rsidRPr="00BD253F">
        <w:rPr>
          <w:sz w:val="24"/>
          <w:szCs w:val="24"/>
        </w:rPr>
        <w:t xml:space="preserve">. </w:t>
      </w:r>
      <w:r w:rsidR="00484695">
        <w:rPr>
          <w:sz w:val="24"/>
          <w:szCs w:val="24"/>
        </w:rPr>
        <w:t>T</w:t>
      </w:r>
      <w:r w:rsidR="0038316E">
        <w:rPr>
          <w:sz w:val="24"/>
          <w:szCs w:val="24"/>
        </w:rPr>
        <w:t xml:space="preserve">he analysis </w:t>
      </w:r>
      <w:r w:rsidR="00484695">
        <w:rPr>
          <w:sz w:val="24"/>
          <w:szCs w:val="24"/>
        </w:rPr>
        <w:t xml:space="preserve">for </w:t>
      </w:r>
      <w:r w:rsidR="0038316E">
        <w:rPr>
          <w:sz w:val="24"/>
          <w:szCs w:val="24"/>
        </w:rPr>
        <w:t xml:space="preserve">CRE price volatility aims to differentiate </w:t>
      </w:r>
      <w:r w:rsidR="003478E0">
        <w:rPr>
          <w:sz w:val="24"/>
          <w:szCs w:val="24"/>
        </w:rPr>
        <w:t xml:space="preserve">among the </w:t>
      </w:r>
      <w:r w:rsidR="0038316E">
        <w:rPr>
          <w:sz w:val="24"/>
          <w:szCs w:val="24"/>
        </w:rPr>
        <w:t xml:space="preserve">contributions from </w:t>
      </w:r>
      <w:r w:rsidR="00484695">
        <w:rPr>
          <w:sz w:val="24"/>
          <w:szCs w:val="24"/>
        </w:rPr>
        <w:t xml:space="preserve">credit policy </w:t>
      </w:r>
      <w:r w:rsidR="00EB538C" w:rsidRPr="00BD253F">
        <w:rPr>
          <w:sz w:val="24"/>
          <w:szCs w:val="24"/>
        </w:rPr>
        <w:t xml:space="preserve">versus property market cycles. </w:t>
      </w:r>
      <w:r w:rsidR="00484695">
        <w:rPr>
          <w:sz w:val="24"/>
          <w:szCs w:val="24"/>
        </w:rPr>
        <w:t>I</w:t>
      </w:r>
      <w:r w:rsidR="00EB538C" w:rsidRPr="00BD253F">
        <w:rPr>
          <w:sz w:val="24"/>
          <w:szCs w:val="24"/>
        </w:rPr>
        <w:t xml:space="preserve">f </w:t>
      </w:r>
      <w:r w:rsidR="0038316E">
        <w:rPr>
          <w:sz w:val="24"/>
          <w:szCs w:val="24"/>
        </w:rPr>
        <w:t xml:space="preserve">CRE pricing </w:t>
      </w:r>
      <w:r w:rsidR="00EB538C" w:rsidRPr="00BD253F">
        <w:rPr>
          <w:sz w:val="24"/>
          <w:szCs w:val="24"/>
        </w:rPr>
        <w:t>cycle</w:t>
      </w:r>
      <w:r w:rsidR="0038316E">
        <w:rPr>
          <w:sz w:val="24"/>
          <w:szCs w:val="24"/>
        </w:rPr>
        <w:t>s</w:t>
      </w:r>
      <w:r w:rsidR="00EB538C" w:rsidRPr="00BD253F">
        <w:rPr>
          <w:sz w:val="24"/>
          <w:szCs w:val="24"/>
        </w:rPr>
        <w:t xml:space="preserve"> </w:t>
      </w:r>
      <w:r w:rsidR="0038316E">
        <w:rPr>
          <w:sz w:val="24"/>
          <w:szCs w:val="24"/>
        </w:rPr>
        <w:t xml:space="preserve">are heavily impacted </w:t>
      </w:r>
      <w:r w:rsidR="00EB538C" w:rsidRPr="00BD253F">
        <w:rPr>
          <w:sz w:val="24"/>
          <w:szCs w:val="24"/>
        </w:rPr>
        <w:t>by “</w:t>
      </w:r>
      <w:r w:rsidR="00BE52DA" w:rsidRPr="00BD253F">
        <w:rPr>
          <w:sz w:val="24"/>
          <w:szCs w:val="24"/>
        </w:rPr>
        <w:t xml:space="preserve">green </w:t>
      </w:r>
      <w:r w:rsidR="00EB538C" w:rsidRPr="00BD253F">
        <w:rPr>
          <w:sz w:val="24"/>
          <w:szCs w:val="24"/>
        </w:rPr>
        <w:t>light-</w:t>
      </w:r>
      <w:r w:rsidR="00BE52DA" w:rsidRPr="00BD253F">
        <w:rPr>
          <w:sz w:val="24"/>
          <w:szCs w:val="24"/>
        </w:rPr>
        <w:t xml:space="preserve">red </w:t>
      </w:r>
      <w:r w:rsidR="00EB538C" w:rsidRPr="00BD253F">
        <w:rPr>
          <w:sz w:val="24"/>
          <w:szCs w:val="24"/>
        </w:rPr>
        <w:t xml:space="preserve">light” lending spurts, then there </w:t>
      </w:r>
      <w:r w:rsidR="00BE52DA" w:rsidRPr="00BD253F">
        <w:rPr>
          <w:sz w:val="24"/>
          <w:szCs w:val="24"/>
        </w:rPr>
        <w:t xml:space="preserve">are </w:t>
      </w:r>
      <w:r w:rsidR="00EB538C" w:rsidRPr="00BD253F">
        <w:rPr>
          <w:sz w:val="24"/>
          <w:szCs w:val="24"/>
        </w:rPr>
        <w:t xml:space="preserve">obvious implications for lending policy </w:t>
      </w:r>
      <w:r w:rsidR="0038316E">
        <w:rPr>
          <w:sz w:val="24"/>
          <w:szCs w:val="24"/>
        </w:rPr>
        <w:t xml:space="preserve">stabilization with consequences for </w:t>
      </w:r>
      <w:r w:rsidR="00187446">
        <w:rPr>
          <w:sz w:val="24"/>
          <w:szCs w:val="24"/>
        </w:rPr>
        <w:t xml:space="preserve">the </w:t>
      </w:r>
      <w:r w:rsidR="003478E0">
        <w:rPr>
          <w:sz w:val="24"/>
          <w:szCs w:val="24"/>
        </w:rPr>
        <w:t xml:space="preserve">long-horizon </w:t>
      </w:r>
      <w:r w:rsidR="0038316E">
        <w:rPr>
          <w:sz w:val="24"/>
          <w:szCs w:val="24"/>
        </w:rPr>
        <w:t xml:space="preserve">market efficiency </w:t>
      </w:r>
      <w:r w:rsidR="00187446">
        <w:rPr>
          <w:sz w:val="24"/>
          <w:szCs w:val="24"/>
        </w:rPr>
        <w:t xml:space="preserve">of </w:t>
      </w:r>
      <w:r w:rsidR="00484695">
        <w:rPr>
          <w:sz w:val="24"/>
          <w:szCs w:val="24"/>
        </w:rPr>
        <w:t>CRE investment</w:t>
      </w:r>
      <w:r w:rsidR="00EB538C" w:rsidRPr="00BD253F">
        <w:rPr>
          <w:sz w:val="24"/>
          <w:szCs w:val="24"/>
        </w:rPr>
        <w:t>.</w:t>
      </w:r>
    </w:p>
    <w:p w:rsidR="00C20839" w:rsidRPr="00C20839" w:rsidRDefault="00C20839" w:rsidP="00C20839">
      <w:pPr>
        <w:spacing w:line="480" w:lineRule="auto"/>
        <w:rPr>
          <w:sz w:val="24"/>
          <w:szCs w:val="24"/>
        </w:rPr>
      </w:pPr>
    </w:p>
    <w:p w:rsidR="00C20839" w:rsidRDefault="00C20839" w:rsidP="00C20839">
      <w:pPr>
        <w:spacing w:line="480" w:lineRule="auto"/>
        <w:rPr>
          <w:b/>
          <w:sz w:val="24"/>
          <w:szCs w:val="24"/>
        </w:rPr>
      </w:pPr>
      <w:r w:rsidRPr="00C20839">
        <w:rPr>
          <w:b/>
          <w:sz w:val="24"/>
          <w:szCs w:val="24"/>
        </w:rPr>
        <w:t xml:space="preserve">I. </w:t>
      </w:r>
      <w:r>
        <w:rPr>
          <w:b/>
          <w:sz w:val="24"/>
          <w:szCs w:val="24"/>
        </w:rPr>
        <w:t xml:space="preserve"> </w:t>
      </w:r>
      <w:r w:rsidRPr="00C20839">
        <w:rPr>
          <w:b/>
          <w:sz w:val="24"/>
          <w:szCs w:val="24"/>
        </w:rPr>
        <w:t>Background</w:t>
      </w:r>
    </w:p>
    <w:p w:rsidR="0027732F" w:rsidRDefault="00187446" w:rsidP="00187446">
      <w:pPr>
        <w:spacing w:line="480" w:lineRule="auto"/>
        <w:jc w:val="both"/>
        <w:rPr>
          <w:sz w:val="24"/>
          <w:szCs w:val="24"/>
        </w:rPr>
      </w:pPr>
      <w:r>
        <w:rPr>
          <w:sz w:val="24"/>
          <w:szCs w:val="24"/>
        </w:rPr>
        <w:t xml:space="preserve">Consider </w:t>
      </w:r>
      <w:r w:rsidR="00AC635F">
        <w:rPr>
          <w:sz w:val="24"/>
          <w:szCs w:val="24"/>
        </w:rPr>
        <w:t>even the most basic pro forma –</w:t>
      </w:r>
      <w:r>
        <w:rPr>
          <w:sz w:val="24"/>
          <w:szCs w:val="24"/>
        </w:rPr>
        <w:t xml:space="preserve"> or </w:t>
      </w:r>
      <w:r w:rsidR="00484695">
        <w:rPr>
          <w:sz w:val="24"/>
          <w:szCs w:val="24"/>
        </w:rPr>
        <w:t xml:space="preserve">CRE </w:t>
      </w:r>
      <w:r>
        <w:rPr>
          <w:sz w:val="24"/>
          <w:szCs w:val="24"/>
        </w:rPr>
        <w:t>cash flow projection</w:t>
      </w:r>
      <w:r w:rsidR="004C60B0">
        <w:rPr>
          <w:sz w:val="24"/>
          <w:szCs w:val="24"/>
        </w:rPr>
        <w:t xml:space="preserve">. </w:t>
      </w:r>
      <w:r>
        <w:rPr>
          <w:sz w:val="24"/>
          <w:szCs w:val="24"/>
        </w:rPr>
        <w:t>Comparative statics reveal that a one percent change in effective rent causes a one percent</w:t>
      </w:r>
      <w:r w:rsidR="00484695">
        <w:rPr>
          <w:sz w:val="24"/>
          <w:szCs w:val="24"/>
        </w:rPr>
        <w:t>age</w:t>
      </w:r>
      <w:r>
        <w:rPr>
          <w:sz w:val="24"/>
          <w:szCs w:val="24"/>
        </w:rPr>
        <w:t xml:space="preserve"> change in the residual asset value, ceteris paribus. It assumes that the cap rate, or NOI divided by </w:t>
      </w:r>
      <w:r>
        <w:rPr>
          <w:sz w:val="24"/>
          <w:szCs w:val="24"/>
        </w:rPr>
        <w:lastRenderedPageBreak/>
        <w:t>the asset price, is held constant</w:t>
      </w:r>
      <w:r w:rsidR="004C60B0">
        <w:rPr>
          <w:sz w:val="24"/>
          <w:szCs w:val="24"/>
        </w:rPr>
        <w:t xml:space="preserve">. </w:t>
      </w:r>
      <w:r>
        <w:rPr>
          <w:sz w:val="24"/>
          <w:szCs w:val="24"/>
        </w:rPr>
        <w:t xml:space="preserve">The cap rate is arguably the most widely </w:t>
      </w:r>
      <w:r w:rsidR="004C2B89">
        <w:rPr>
          <w:sz w:val="24"/>
          <w:szCs w:val="24"/>
        </w:rPr>
        <w:t xml:space="preserve">applied and discussed </w:t>
      </w:r>
      <w:r>
        <w:rPr>
          <w:sz w:val="24"/>
          <w:szCs w:val="24"/>
        </w:rPr>
        <w:t xml:space="preserve">valuation </w:t>
      </w:r>
      <w:r w:rsidR="004C2B89">
        <w:rPr>
          <w:sz w:val="24"/>
          <w:szCs w:val="24"/>
        </w:rPr>
        <w:t xml:space="preserve">metric </w:t>
      </w:r>
      <w:r>
        <w:rPr>
          <w:sz w:val="24"/>
          <w:szCs w:val="24"/>
        </w:rPr>
        <w:t xml:space="preserve">in CRE </w:t>
      </w:r>
      <w:r w:rsidR="00AC635F">
        <w:rPr>
          <w:sz w:val="24"/>
          <w:szCs w:val="24"/>
        </w:rPr>
        <w:t xml:space="preserve">industry </w:t>
      </w:r>
      <w:r>
        <w:rPr>
          <w:sz w:val="24"/>
          <w:szCs w:val="24"/>
        </w:rPr>
        <w:t>today</w:t>
      </w:r>
      <w:r w:rsidR="004C60B0">
        <w:rPr>
          <w:sz w:val="24"/>
          <w:szCs w:val="24"/>
        </w:rPr>
        <w:t xml:space="preserve">. </w:t>
      </w:r>
      <w:r w:rsidR="004C2B89">
        <w:rPr>
          <w:sz w:val="24"/>
          <w:szCs w:val="24"/>
        </w:rPr>
        <w:t>Cap rates have been evaluated for their ability to predict future CRE prices (</w:t>
      </w:r>
      <w:r w:rsidR="00DE5419">
        <w:rPr>
          <w:sz w:val="24"/>
          <w:szCs w:val="24"/>
        </w:rPr>
        <w:t>Ghysels, Plazzi</w:t>
      </w:r>
      <w:r w:rsidR="00484695">
        <w:rPr>
          <w:sz w:val="24"/>
          <w:szCs w:val="24"/>
        </w:rPr>
        <w:t xml:space="preserve"> and Valkanov, 2007; Plazzi, Torous</w:t>
      </w:r>
      <w:r w:rsidR="00E873BA">
        <w:rPr>
          <w:sz w:val="24"/>
          <w:szCs w:val="24"/>
        </w:rPr>
        <w:t xml:space="preserve"> and</w:t>
      </w:r>
      <w:r w:rsidR="00484695">
        <w:rPr>
          <w:sz w:val="24"/>
          <w:szCs w:val="24"/>
        </w:rPr>
        <w:t xml:space="preserve"> Valkanov, 2010; </w:t>
      </w:r>
      <w:r w:rsidR="004C2B89">
        <w:rPr>
          <w:sz w:val="24"/>
          <w:szCs w:val="24"/>
        </w:rPr>
        <w:t>Ghysels, Plazzi, Torous</w:t>
      </w:r>
      <w:r w:rsidR="00E873BA">
        <w:rPr>
          <w:sz w:val="24"/>
          <w:szCs w:val="24"/>
        </w:rPr>
        <w:t xml:space="preserve"> and</w:t>
      </w:r>
      <w:r w:rsidR="004C2B89">
        <w:rPr>
          <w:sz w:val="24"/>
          <w:szCs w:val="24"/>
        </w:rPr>
        <w:t xml:space="preserve"> Valkanov, 2012)</w:t>
      </w:r>
      <w:r w:rsidR="004C60B0">
        <w:rPr>
          <w:sz w:val="24"/>
          <w:szCs w:val="24"/>
        </w:rPr>
        <w:t xml:space="preserve">. </w:t>
      </w:r>
      <w:r w:rsidR="00DF2E60">
        <w:rPr>
          <w:sz w:val="24"/>
          <w:szCs w:val="24"/>
        </w:rPr>
        <w:t>T</w:t>
      </w:r>
      <w:r w:rsidR="004C2B89">
        <w:rPr>
          <w:sz w:val="24"/>
          <w:szCs w:val="24"/>
        </w:rPr>
        <w:t xml:space="preserve">heoretical foundation behind this </w:t>
      </w:r>
      <w:r w:rsidR="00092531">
        <w:rPr>
          <w:sz w:val="24"/>
          <w:szCs w:val="24"/>
        </w:rPr>
        <w:t xml:space="preserve">notion </w:t>
      </w:r>
      <w:r w:rsidR="004C2B89">
        <w:rPr>
          <w:sz w:val="24"/>
          <w:szCs w:val="24"/>
        </w:rPr>
        <w:t>is that CRE rents and prices should experience a high degree of co-movement – even if the joint path is somewhat unpredictable</w:t>
      </w:r>
      <w:r w:rsidR="004C60B0">
        <w:rPr>
          <w:sz w:val="24"/>
          <w:szCs w:val="24"/>
        </w:rPr>
        <w:t xml:space="preserve">. </w:t>
      </w:r>
      <w:r w:rsidR="004C2B89">
        <w:rPr>
          <w:sz w:val="24"/>
          <w:szCs w:val="24"/>
        </w:rPr>
        <w:t xml:space="preserve">Applying the cap rate, if rents rise relative to underlying asset values, then CRE </w:t>
      </w:r>
      <w:r w:rsidR="005E671B">
        <w:rPr>
          <w:sz w:val="24"/>
          <w:szCs w:val="24"/>
        </w:rPr>
        <w:t>investment will be attracted to the increased yield</w:t>
      </w:r>
      <w:r w:rsidR="00DA72C0">
        <w:rPr>
          <w:sz w:val="24"/>
          <w:szCs w:val="24"/>
        </w:rPr>
        <w:t xml:space="preserve">s and </w:t>
      </w:r>
      <w:r w:rsidR="004C2B89">
        <w:rPr>
          <w:sz w:val="24"/>
          <w:szCs w:val="24"/>
        </w:rPr>
        <w:t>prices</w:t>
      </w:r>
      <w:r w:rsidR="00DA72C0">
        <w:rPr>
          <w:sz w:val="24"/>
          <w:szCs w:val="24"/>
        </w:rPr>
        <w:t xml:space="preserve"> will be bid up, returning the cap rate to steady state equilibrium</w:t>
      </w:r>
      <w:r w:rsidR="004C60B0">
        <w:rPr>
          <w:sz w:val="24"/>
          <w:szCs w:val="24"/>
        </w:rPr>
        <w:t xml:space="preserve">. </w:t>
      </w:r>
      <w:r w:rsidR="00DA72C0">
        <w:rPr>
          <w:sz w:val="24"/>
          <w:szCs w:val="24"/>
        </w:rPr>
        <w:t>Thus, even though CRE rents and prices may appear to follow a random path</w:t>
      </w:r>
      <w:r w:rsidR="00DF2E60">
        <w:rPr>
          <w:sz w:val="24"/>
          <w:szCs w:val="24"/>
        </w:rPr>
        <w:t xml:space="preserve"> when evaluated individually</w:t>
      </w:r>
      <w:r w:rsidR="00DA72C0">
        <w:rPr>
          <w:sz w:val="24"/>
          <w:szCs w:val="24"/>
        </w:rPr>
        <w:t xml:space="preserve">, the cap rate </w:t>
      </w:r>
      <w:r w:rsidR="00DF2E60">
        <w:rPr>
          <w:sz w:val="24"/>
          <w:szCs w:val="24"/>
        </w:rPr>
        <w:t>(</w:t>
      </w:r>
      <w:r w:rsidR="00DA72C0">
        <w:rPr>
          <w:sz w:val="24"/>
          <w:szCs w:val="24"/>
        </w:rPr>
        <w:t>as their ratio</w:t>
      </w:r>
      <w:r w:rsidR="00DF2E60">
        <w:rPr>
          <w:sz w:val="24"/>
          <w:szCs w:val="24"/>
        </w:rPr>
        <w:t>)</w:t>
      </w:r>
      <w:r w:rsidR="00DA72C0">
        <w:rPr>
          <w:sz w:val="24"/>
          <w:szCs w:val="24"/>
        </w:rPr>
        <w:t xml:space="preserve"> is a mean-reverting process</w:t>
      </w:r>
      <w:r w:rsidR="004C60B0">
        <w:rPr>
          <w:sz w:val="24"/>
          <w:szCs w:val="24"/>
        </w:rPr>
        <w:t xml:space="preserve">. </w:t>
      </w:r>
      <w:r w:rsidR="00DA72C0">
        <w:rPr>
          <w:sz w:val="24"/>
          <w:szCs w:val="24"/>
        </w:rPr>
        <w:t>High cap rates predict future CRE price increases; low cap rates predict future declines</w:t>
      </w:r>
      <w:r w:rsidR="004C60B0">
        <w:rPr>
          <w:sz w:val="24"/>
          <w:szCs w:val="24"/>
        </w:rPr>
        <w:t xml:space="preserve">. </w:t>
      </w:r>
    </w:p>
    <w:p w:rsidR="000C5DF7" w:rsidRPr="000E72B1" w:rsidRDefault="000C5DF7" w:rsidP="00187446">
      <w:pPr>
        <w:spacing w:line="480" w:lineRule="auto"/>
        <w:jc w:val="both"/>
        <w:rPr>
          <w:sz w:val="24"/>
          <w:szCs w:val="24"/>
        </w:rPr>
      </w:pPr>
      <w:r>
        <w:rPr>
          <w:sz w:val="24"/>
          <w:szCs w:val="24"/>
        </w:rPr>
        <w:tab/>
      </w:r>
      <w:r w:rsidRPr="000E72B1">
        <w:rPr>
          <w:sz w:val="24"/>
          <w:szCs w:val="24"/>
        </w:rPr>
        <w:t xml:space="preserve">Potentially offsetting the discipline of CRE investors are patterns of return-chasing behavior. In the mutual fund literature, investment flows to funds that have recently experienced good performance (Friesen and Sapp, 2007). </w:t>
      </w:r>
      <w:r w:rsidR="00285B25" w:rsidRPr="000E72B1">
        <w:rPr>
          <w:sz w:val="24"/>
          <w:szCs w:val="24"/>
        </w:rPr>
        <w:t>Momentum trading strategies contribute to periods of sequentially positive returns (Ca</w:t>
      </w:r>
      <w:r w:rsidR="00E5727A" w:rsidRPr="000E72B1">
        <w:rPr>
          <w:sz w:val="24"/>
          <w:szCs w:val="24"/>
        </w:rPr>
        <w:t>r</w:t>
      </w:r>
      <w:r w:rsidR="00285B25" w:rsidRPr="000E72B1">
        <w:rPr>
          <w:sz w:val="24"/>
          <w:szCs w:val="24"/>
        </w:rPr>
        <w:t>hart, 1997).</w:t>
      </w:r>
      <w:r w:rsidR="00E5727A" w:rsidRPr="000E72B1">
        <w:rPr>
          <w:sz w:val="24"/>
          <w:szCs w:val="24"/>
        </w:rPr>
        <w:t xml:space="preserve"> </w:t>
      </w:r>
      <w:r w:rsidR="000E72B1">
        <w:rPr>
          <w:sz w:val="24"/>
          <w:szCs w:val="24"/>
        </w:rPr>
        <w:t>As an asset class, CRE is inherently cyclical due to the “persistent mistmatch between supply and demand of real estate arising from cyclicality in demand for space and the lumpy, indivisible, irreversible nature of new supply” (Arsenault, Clayton and Peng, 2013, p.244).</w:t>
      </w:r>
      <w:r w:rsidR="00E5727A" w:rsidRPr="000E72B1">
        <w:rPr>
          <w:sz w:val="24"/>
          <w:szCs w:val="24"/>
        </w:rPr>
        <w:t xml:space="preserve"> </w:t>
      </w:r>
      <w:r w:rsidR="00187C1B">
        <w:rPr>
          <w:sz w:val="24"/>
          <w:szCs w:val="24"/>
        </w:rPr>
        <w:t xml:space="preserve">CRE prices </w:t>
      </w:r>
      <w:r w:rsidR="00F07F04">
        <w:rPr>
          <w:sz w:val="24"/>
          <w:szCs w:val="24"/>
        </w:rPr>
        <w:t xml:space="preserve">exhibit highly </w:t>
      </w:r>
      <w:r w:rsidR="00187C1B">
        <w:rPr>
          <w:sz w:val="24"/>
          <w:szCs w:val="24"/>
        </w:rPr>
        <w:t xml:space="preserve">cyclical </w:t>
      </w:r>
      <w:r w:rsidR="00F07F04">
        <w:rPr>
          <w:sz w:val="24"/>
          <w:szCs w:val="24"/>
        </w:rPr>
        <w:t xml:space="preserve">patterns </w:t>
      </w:r>
      <w:r w:rsidR="00187C1B">
        <w:rPr>
          <w:sz w:val="24"/>
          <w:szCs w:val="24"/>
        </w:rPr>
        <w:t xml:space="preserve">making the asset class </w:t>
      </w:r>
      <w:r w:rsidR="00515502">
        <w:rPr>
          <w:sz w:val="24"/>
          <w:szCs w:val="24"/>
        </w:rPr>
        <w:t xml:space="preserve">relatively </w:t>
      </w:r>
      <w:r w:rsidR="00187C1B">
        <w:rPr>
          <w:sz w:val="24"/>
          <w:szCs w:val="24"/>
        </w:rPr>
        <w:t>attractive to return-chasing investors.</w:t>
      </w:r>
    </w:p>
    <w:p w:rsidR="00DA72C0" w:rsidRPr="00BD253F" w:rsidRDefault="00DA72C0" w:rsidP="00DA72C0">
      <w:pPr>
        <w:spacing w:line="480" w:lineRule="auto"/>
        <w:ind w:firstLine="720"/>
        <w:jc w:val="both"/>
        <w:rPr>
          <w:sz w:val="24"/>
          <w:szCs w:val="24"/>
        </w:rPr>
      </w:pPr>
      <w:r>
        <w:rPr>
          <w:sz w:val="24"/>
          <w:szCs w:val="24"/>
        </w:rPr>
        <w:lastRenderedPageBreak/>
        <w:t xml:space="preserve">In </w:t>
      </w:r>
      <w:r w:rsidRPr="00BD253F">
        <w:rPr>
          <w:sz w:val="24"/>
          <w:szCs w:val="24"/>
        </w:rPr>
        <w:t>Jorgenson’s (196</w:t>
      </w:r>
      <w:r w:rsidR="004E70B0">
        <w:rPr>
          <w:sz w:val="24"/>
          <w:szCs w:val="24"/>
        </w:rPr>
        <w:t>0</w:t>
      </w:r>
      <w:r w:rsidRPr="00BD253F">
        <w:rPr>
          <w:sz w:val="24"/>
          <w:szCs w:val="24"/>
        </w:rPr>
        <w:t xml:space="preserve">) theory of investment, the user cost equals interest rates, </w:t>
      </w:r>
      <w:r w:rsidRPr="00BD253F">
        <w:rPr>
          <w:i/>
          <w:sz w:val="24"/>
          <w:szCs w:val="24"/>
        </w:rPr>
        <w:t>i</w:t>
      </w:r>
      <w:r w:rsidRPr="00BD253F">
        <w:rPr>
          <w:sz w:val="24"/>
          <w:szCs w:val="24"/>
        </w:rPr>
        <w:t xml:space="preserve">, minus capital gains, </w:t>
      </w:r>
      <w:r w:rsidRPr="00BD253F">
        <w:rPr>
          <w:i/>
          <w:sz w:val="24"/>
          <w:szCs w:val="24"/>
        </w:rPr>
        <w:t>g</w:t>
      </w:r>
      <w:r w:rsidRPr="00BD253F">
        <w:rPr>
          <w:sz w:val="24"/>
          <w:szCs w:val="24"/>
        </w:rPr>
        <w:t xml:space="preserve">. In </w:t>
      </w:r>
      <w:r>
        <w:rPr>
          <w:sz w:val="24"/>
          <w:szCs w:val="24"/>
        </w:rPr>
        <w:t>CRE</w:t>
      </w:r>
      <w:r w:rsidRPr="00BD253F">
        <w:rPr>
          <w:sz w:val="24"/>
          <w:szCs w:val="24"/>
        </w:rPr>
        <w:t xml:space="preserve">, the user cost is the cap rate, defined as </w:t>
      </w:r>
      <w:r>
        <w:rPr>
          <w:sz w:val="24"/>
          <w:szCs w:val="24"/>
        </w:rPr>
        <w:t>NOI</w:t>
      </w:r>
      <w:r w:rsidRPr="00BD253F">
        <w:rPr>
          <w:sz w:val="24"/>
          <w:szCs w:val="24"/>
        </w:rPr>
        <w:t xml:space="preserve">, </w:t>
      </w:r>
      <w:r w:rsidRPr="00BD253F">
        <w:rPr>
          <w:i/>
          <w:sz w:val="24"/>
          <w:szCs w:val="24"/>
        </w:rPr>
        <w:t>U</w:t>
      </w:r>
      <w:r w:rsidRPr="00BD253F">
        <w:rPr>
          <w:sz w:val="24"/>
          <w:szCs w:val="24"/>
        </w:rPr>
        <w:t xml:space="preserve">, divided by the asset price, </w:t>
      </w:r>
      <w:r w:rsidRPr="00BD253F">
        <w:rPr>
          <w:i/>
          <w:sz w:val="24"/>
          <w:szCs w:val="24"/>
        </w:rPr>
        <w:t>P</w:t>
      </w:r>
      <w:r w:rsidRPr="00BD253F">
        <w:rPr>
          <w:sz w:val="24"/>
          <w:szCs w:val="24"/>
        </w:rPr>
        <w:t>.</w:t>
      </w:r>
    </w:p>
    <w:p w:rsidR="00DA72C0" w:rsidRPr="00BD253F" w:rsidRDefault="00DA72C0" w:rsidP="00DA72C0">
      <w:pPr>
        <w:tabs>
          <w:tab w:val="left" w:pos="360"/>
        </w:tabs>
        <w:spacing w:line="480" w:lineRule="auto"/>
        <w:rPr>
          <w:sz w:val="24"/>
          <w:szCs w:val="24"/>
        </w:rPr>
      </w:pPr>
      <w:r w:rsidRPr="00BD253F">
        <w:rPr>
          <w:sz w:val="24"/>
          <w:szCs w:val="24"/>
        </w:rPr>
        <w:tab/>
      </w:r>
      <m:oMath>
        <m:f>
          <m:fPr>
            <m:ctrlPr>
              <w:rPr>
                <w:rFonts w:ascii="Cambria Math" w:hAnsi="Cambria Math"/>
                <w:i/>
                <w:sz w:val="24"/>
                <w:szCs w:val="24"/>
              </w:rPr>
            </m:ctrlPr>
          </m:fPr>
          <m:num>
            <m:r>
              <w:rPr>
                <w:rFonts w:ascii="Cambria Math" w:hAnsi="Cambria Math"/>
                <w:sz w:val="24"/>
                <w:szCs w:val="24"/>
              </w:rPr>
              <m:t>U</m:t>
            </m:r>
          </m:num>
          <m:den>
            <m:r>
              <w:rPr>
                <w:rFonts w:ascii="Cambria Math" w:hAnsi="Cambria Math"/>
                <w:sz w:val="24"/>
                <w:szCs w:val="24"/>
              </w:rPr>
              <m:t>P</m:t>
            </m:r>
          </m:den>
        </m:f>
        <m:r>
          <w:rPr>
            <w:rFonts w:ascii="Cambria Math" w:hAnsi="Cambria Math"/>
            <w:sz w:val="24"/>
            <w:szCs w:val="24"/>
          </w:rPr>
          <m:t>=i-g</m:t>
        </m:r>
      </m:oMath>
      <w:r w:rsidRPr="00BD253F">
        <w:rPr>
          <w:sz w:val="24"/>
          <w:szCs w:val="24"/>
        </w:rPr>
        <w:t>.</w:t>
      </w:r>
      <w:r w:rsidRPr="00BD253F">
        <w:rPr>
          <w:sz w:val="24"/>
          <w:szCs w:val="24"/>
        </w:rPr>
        <w:tab/>
      </w:r>
      <w:r w:rsidRPr="00BD253F">
        <w:rPr>
          <w:sz w:val="24"/>
          <w:szCs w:val="24"/>
        </w:rPr>
        <w:tab/>
      </w:r>
      <w:r w:rsidRPr="00BD253F">
        <w:rPr>
          <w:sz w:val="24"/>
          <w:szCs w:val="24"/>
        </w:rPr>
        <w:tab/>
      </w:r>
      <w:r w:rsidRPr="00BD253F">
        <w:rPr>
          <w:sz w:val="24"/>
          <w:szCs w:val="24"/>
        </w:rPr>
        <w:tab/>
      </w:r>
      <w:r w:rsidRPr="00BD253F">
        <w:rPr>
          <w:sz w:val="24"/>
          <w:szCs w:val="24"/>
        </w:rPr>
        <w:tab/>
      </w:r>
      <w:r w:rsidRPr="00BD253F">
        <w:rPr>
          <w:sz w:val="24"/>
          <w:szCs w:val="24"/>
        </w:rPr>
        <w:tab/>
      </w:r>
      <w:r w:rsidRPr="00BD253F">
        <w:rPr>
          <w:sz w:val="24"/>
          <w:szCs w:val="24"/>
        </w:rPr>
        <w:tab/>
      </w:r>
      <w:r w:rsidRPr="00BD253F">
        <w:rPr>
          <w:sz w:val="24"/>
          <w:szCs w:val="24"/>
        </w:rPr>
        <w:tab/>
      </w:r>
      <w:r w:rsidRPr="00BD253F">
        <w:rPr>
          <w:sz w:val="24"/>
          <w:szCs w:val="24"/>
        </w:rPr>
        <w:tab/>
      </w:r>
      <w:r w:rsidRPr="00BD253F">
        <w:rPr>
          <w:sz w:val="24"/>
          <w:szCs w:val="24"/>
        </w:rPr>
        <w:tab/>
      </w:r>
      <m:oMath>
        <m:d>
          <m:dPr>
            <m:ctrlPr>
              <w:rPr>
                <w:rFonts w:ascii="Cambria Math" w:hAnsi="Cambria Math"/>
                <w:i/>
                <w:sz w:val="24"/>
                <w:szCs w:val="24"/>
              </w:rPr>
            </m:ctrlPr>
          </m:dPr>
          <m:e>
            <m:r>
              <w:rPr>
                <w:rFonts w:ascii="Cambria Math" w:hAnsi="Cambria Math"/>
                <w:sz w:val="24"/>
                <w:szCs w:val="24"/>
              </w:rPr>
              <m:t>1</m:t>
            </m:r>
          </m:e>
        </m:d>
      </m:oMath>
    </w:p>
    <w:p w:rsidR="00DA72C0" w:rsidRPr="00BD253F" w:rsidRDefault="00DA72C0" w:rsidP="00DA72C0">
      <w:pPr>
        <w:spacing w:line="480" w:lineRule="auto"/>
        <w:rPr>
          <w:sz w:val="24"/>
          <w:szCs w:val="24"/>
        </w:rPr>
      </w:pPr>
      <w:r w:rsidRPr="00BD253F">
        <w:rPr>
          <w:sz w:val="24"/>
          <w:szCs w:val="24"/>
        </w:rPr>
        <w:t>Rearranging terms and taking the natural log on both sides results in</w:t>
      </w:r>
    </w:p>
    <w:p w:rsidR="00DA72C0" w:rsidRPr="00BD253F" w:rsidRDefault="00DA72C0" w:rsidP="00DA72C0">
      <w:pPr>
        <w:tabs>
          <w:tab w:val="left" w:pos="360"/>
        </w:tabs>
        <w:spacing w:line="480" w:lineRule="auto"/>
        <w:rPr>
          <w:sz w:val="24"/>
          <w:szCs w:val="24"/>
        </w:rPr>
      </w:pPr>
      <w:r w:rsidRPr="00BD253F">
        <w:rPr>
          <w:sz w:val="24"/>
          <w:szCs w:val="24"/>
        </w:rPr>
        <w:tab/>
      </w:r>
      <m:oMath>
        <m:func>
          <m:funcPr>
            <m:ctrlPr>
              <w:rPr>
                <w:rFonts w:ascii="Cambria Math" w:hAnsi="Cambria Math"/>
                <w:sz w:val="24"/>
                <w:szCs w:val="24"/>
              </w:rPr>
            </m:ctrlPr>
          </m:funcPr>
          <m:fName>
            <m:r>
              <m:rPr>
                <m:sty m:val="p"/>
              </m:rPr>
              <w:rPr>
                <w:rFonts w:ascii="Cambria Math" w:hAnsi="Cambria Math"/>
                <w:sz w:val="24"/>
                <w:szCs w:val="24"/>
              </w:rPr>
              <m:t>ln</m:t>
            </m:r>
          </m:fName>
          <m:e>
            <m:d>
              <m:dPr>
                <m:ctrlPr>
                  <w:rPr>
                    <w:rFonts w:ascii="Cambria Math" w:hAnsi="Cambria Math"/>
                    <w:i/>
                    <w:sz w:val="24"/>
                    <w:szCs w:val="24"/>
                  </w:rPr>
                </m:ctrlPr>
              </m:dPr>
              <m:e>
                <m:r>
                  <w:rPr>
                    <w:rFonts w:ascii="Cambria Math" w:hAnsi="Cambria Math"/>
                    <w:sz w:val="24"/>
                    <w:szCs w:val="24"/>
                  </w:rPr>
                  <m:t>P</m:t>
                </m:r>
              </m:e>
            </m:d>
          </m:e>
        </m:func>
        <m:r>
          <w:rPr>
            <w:rFonts w:ascii="Cambria Math" w:hAnsi="Cambria Math"/>
            <w:sz w:val="24"/>
            <w:szCs w:val="24"/>
          </w:rPr>
          <m:t>=ln</m:t>
        </m:r>
        <m:d>
          <m:dPr>
            <m:ctrlPr>
              <w:rPr>
                <w:rFonts w:ascii="Cambria Math" w:hAnsi="Cambria Math"/>
                <w:i/>
                <w:sz w:val="24"/>
                <w:szCs w:val="24"/>
              </w:rPr>
            </m:ctrlPr>
          </m:dPr>
          <m:e>
            <m:r>
              <w:rPr>
                <w:rFonts w:ascii="Cambria Math" w:hAnsi="Cambria Math"/>
                <w:sz w:val="24"/>
                <w:szCs w:val="24"/>
              </w:rPr>
              <m:t>U</m:t>
            </m:r>
          </m:e>
        </m:d>
        <m:r>
          <m:rPr>
            <m:sty m:val="p"/>
          </m:rPr>
          <w:rPr>
            <w:rFonts w:ascii="Cambria Math" w:hAnsi="Cambria Math"/>
            <w:sz w:val="24"/>
            <w:szCs w:val="24"/>
          </w:rPr>
          <m:t>+ln⁡</m:t>
        </m:r>
        <m:d>
          <m:dPr>
            <m:ctrlPr>
              <w:rPr>
                <w:rFonts w:ascii="Cambria Math" w:hAnsi="Cambria Math"/>
                <w:i/>
                <w:sz w:val="24"/>
                <w:szCs w:val="24"/>
              </w:rPr>
            </m:ctrlPr>
          </m:dPr>
          <m:e>
            <m:r>
              <w:rPr>
                <w:rFonts w:ascii="Cambria Math" w:hAnsi="Cambria Math"/>
                <w:sz w:val="24"/>
                <w:szCs w:val="24"/>
              </w:rPr>
              <m:t>g-i</m:t>
            </m:r>
          </m:e>
        </m:d>
      </m:oMath>
      <w:r w:rsidRPr="00BD253F">
        <w:rPr>
          <w:sz w:val="24"/>
          <w:szCs w:val="24"/>
        </w:rPr>
        <w:t>.</w:t>
      </w:r>
      <w:r w:rsidRPr="00BD253F">
        <w:rPr>
          <w:sz w:val="24"/>
          <w:szCs w:val="24"/>
        </w:rPr>
        <w:tab/>
      </w:r>
      <w:r w:rsidRPr="00BD253F">
        <w:rPr>
          <w:sz w:val="24"/>
          <w:szCs w:val="24"/>
        </w:rPr>
        <w:tab/>
      </w:r>
      <w:r w:rsidRPr="00BD253F">
        <w:rPr>
          <w:sz w:val="24"/>
          <w:szCs w:val="24"/>
        </w:rPr>
        <w:tab/>
      </w:r>
      <w:r w:rsidRPr="00BD253F">
        <w:rPr>
          <w:sz w:val="24"/>
          <w:szCs w:val="24"/>
        </w:rPr>
        <w:tab/>
      </w:r>
      <w:r w:rsidRPr="00BD253F">
        <w:rPr>
          <w:sz w:val="24"/>
          <w:szCs w:val="24"/>
        </w:rPr>
        <w:tab/>
      </w:r>
      <w:r w:rsidRPr="00BD253F">
        <w:rPr>
          <w:sz w:val="24"/>
          <w:szCs w:val="24"/>
        </w:rPr>
        <w:tab/>
      </w:r>
      <w:r w:rsidRPr="00BD253F">
        <w:rPr>
          <w:sz w:val="24"/>
          <w:szCs w:val="24"/>
        </w:rPr>
        <w:tab/>
      </w:r>
      <m:oMath>
        <m:d>
          <m:dPr>
            <m:ctrlPr>
              <w:rPr>
                <w:rFonts w:ascii="Cambria Math" w:hAnsi="Cambria Math"/>
                <w:i/>
                <w:sz w:val="24"/>
                <w:szCs w:val="24"/>
              </w:rPr>
            </m:ctrlPr>
          </m:dPr>
          <m:e>
            <m:r>
              <w:rPr>
                <w:rFonts w:ascii="Cambria Math" w:hAnsi="Cambria Math"/>
                <w:sz w:val="24"/>
                <w:szCs w:val="24"/>
              </w:rPr>
              <m:t>2</m:t>
            </m:r>
          </m:e>
        </m:d>
      </m:oMath>
    </w:p>
    <w:p w:rsidR="00400360" w:rsidRPr="00BD253F" w:rsidRDefault="00400360" w:rsidP="00400360">
      <w:pPr>
        <w:spacing w:line="480" w:lineRule="auto"/>
        <w:jc w:val="both"/>
        <w:rPr>
          <w:sz w:val="24"/>
          <w:szCs w:val="24"/>
        </w:rPr>
      </w:pPr>
      <w:r>
        <w:rPr>
          <w:sz w:val="24"/>
          <w:szCs w:val="24"/>
        </w:rPr>
        <w:t xml:space="preserve">If true, the only impacts on CRE prices are </w:t>
      </w:r>
      <w:r w:rsidR="00092531">
        <w:rPr>
          <w:sz w:val="24"/>
          <w:szCs w:val="24"/>
        </w:rPr>
        <w:t xml:space="preserve">those </w:t>
      </w:r>
      <w:r>
        <w:rPr>
          <w:sz w:val="24"/>
          <w:szCs w:val="24"/>
        </w:rPr>
        <w:t>responding to shifts in the underlying property market, or changes in the financial risk premia. As</w:t>
      </w:r>
      <w:r w:rsidR="007A61BB">
        <w:rPr>
          <w:sz w:val="24"/>
          <w:szCs w:val="24"/>
        </w:rPr>
        <w:t xml:space="preserve"> an</w:t>
      </w:r>
      <w:r>
        <w:rPr>
          <w:sz w:val="24"/>
          <w:szCs w:val="24"/>
        </w:rPr>
        <w:t xml:space="preserve"> alternative</w:t>
      </w:r>
      <w:r w:rsidRPr="00BD253F">
        <w:rPr>
          <w:sz w:val="24"/>
          <w:szCs w:val="24"/>
        </w:rPr>
        <w:t xml:space="preserve">, </w:t>
      </w:r>
      <w:r>
        <w:rPr>
          <w:sz w:val="24"/>
          <w:szCs w:val="24"/>
        </w:rPr>
        <w:t xml:space="preserve">this study </w:t>
      </w:r>
      <w:r w:rsidRPr="00BD253F">
        <w:rPr>
          <w:sz w:val="24"/>
          <w:szCs w:val="24"/>
        </w:rPr>
        <w:t xml:space="preserve">considers </w:t>
      </w:r>
      <w:r>
        <w:rPr>
          <w:sz w:val="24"/>
          <w:szCs w:val="24"/>
        </w:rPr>
        <w:t xml:space="preserve">that CRE price volatility, </w:t>
      </w:r>
      <m:oMath>
        <m:sSubSup>
          <m:sSubSupPr>
            <m:ctrlPr>
              <w:rPr>
                <w:rFonts w:ascii="Cambria Math" w:hAnsi="Cambria Math"/>
                <w:i/>
                <w:sz w:val="24"/>
                <w:szCs w:val="24"/>
              </w:rPr>
            </m:ctrlPr>
          </m:sSubSupPr>
          <m:e>
            <m:r>
              <w:rPr>
                <w:rFonts w:ascii="Cambria Math" w:hAnsi="Cambria Math"/>
                <w:sz w:val="24"/>
                <w:szCs w:val="24"/>
              </w:rPr>
              <m:t>σ</m:t>
            </m:r>
          </m:e>
          <m:sub>
            <m:r>
              <w:rPr>
                <w:rFonts w:ascii="Cambria Math" w:hAnsi="Cambria Math"/>
                <w:sz w:val="24"/>
                <w:szCs w:val="24"/>
              </w:rPr>
              <m:t>P</m:t>
            </m:r>
          </m:sub>
          <m:sup>
            <m:r>
              <w:rPr>
                <w:rFonts w:ascii="Cambria Math" w:hAnsi="Cambria Math"/>
                <w:sz w:val="24"/>
                <w:szCs w:val="24"/>
              </w:rPr>
              <m:t>2</m:t>
            </m:r>
          </m:sup>
        </m:sSubSup>
      </m:oMath>
      <w:r w:rsidRPr="00BD253F">
        <w:rPr>
          <w:sz w:val="24"/>
          <w:szCs w:val="24"/>
        </w:rPr>
        <w:t xml:space="preserve">, </w:t>
      </w:r>
      <w:r>
        <w:rPr>
          <w:sz w:val="24"/>
          <w:szCs w:val="24"/>
        </w:rPr>
        <w:t xml:space="preserve">may </w:t>
      </w:r>
      <w:r w:rsidRPr="00BD253F">
        <w:rPr>
          <w:sz w:val="24"/>
          <w:szCs w:val="24"/>
        </w:rPr>
        <w:t>be influenced</w:t>
      </w:r>
      <w:r w:rsidR="00DF2E60">
        <w:rPr>
          <w:sz w:val="24"/>
          <w:szCs w:val="24"/>
        </w:rPr>
        <w:t>, not only</w:t>
      </w:r>
      <w:r w:rsidRPr="00BD253F">
        <w:rPr>
          <w:sz w:val="24"/>
          <w:szCs w:val="24"/>
        </w:rPr>
        <w:t xml:space="preserve"> by volatilities in the underlying property market, </w:t>
      </w:r>
      <w:r w:rsidRPr="00BD253F">
        <w:rPr>
          <w:i/>
          <w:sz w:val="24"/>
          <w:szCs w:val="24"/>
        </w:rPr>
        <w:t>U</w:t>
      </w:r>
      <w:r w:rsidRPr="00BD253F">
        <w:rPr>
          <w:sz w:val="24"/>
          <w:szCs w:val="24"/>
        </w:rPr>
        <w:t xml:space="preserve">, </w:t>
      </w:r>
      <w:r w:rsidR="00DF2E60">
        <w:rPr>
          <w:sz w:val="24"/>
          <w:szCs w:val="24"/>
        </w:rPr>
        <w:t xml:space="preserve">and </w:t>
      </w:r>
      <w:r w:rsidRPr="00BD253F">
        <w:rPr>
          <w:sz w:val="24"/>
          <w:szCs w:val="24"/>
        </w:rPr>
        <w:t xml:space="preserve">in the financial risk premia, </w:t>
      </w:r>
      <w:r w:rsidRPr="00BD253F">
        <w:rPr>
          <w:i/>
          <w:sz w:val="24"/>
          <w:szCs w:val="24"/>
        </w:rPr>
        <w:t>π</w:t>
      </w:r>
      <w:r w:rsidRPr="00BD253F">
        <w:rPr>
          <w:sz w:val="24"/>
          <w:szCs w:val="24"/>
        </w:rPr>
        <w:t xml:space="preserve">, </w:t>
      </w:r>
      <w:r w:rsidR="00DF2E60">
        <w:rPr>
          <w:sz w:val="24"/>
          <w:szCs w:val="24"/>
        </w:rPr>
        <w:t xml:space="preserve">but also by </w:t>
      </w:r>
      <w:r>
        <w:rPr>
          <w:sz w:val="24"/>
          <w:szCs w:val="24"/>
        </w:rPr>
        <w:t xml:space="preserve">volatility </w:t>
      </w:r>
      <w:r w:rsidRPr="00BD253F">
        <w:rPr>
          <w:sz w:val="24"/>
          <w:szCs w:val="24"/>
        </w:rPr>
        <w:t xml:space="preserve">in </w:t>
      </w:r>
      <w:r>
        <w:rPr>
          <w:sz w:val="24"/>
          <w:szCs w:val="24"/>
        </w:rPr>
        <w:t xml:space="preserve">CRE </w:t>
      </w:r>
      <w:r w:rsidR="00DF2E60">
        <w:rPr>
          <w:sz w:val="24"/>
          <w:szCs w:val="24"/>
        </w:rPr>
        <w:t xml:space="preserve">credit </w:t>
      </w:r>
      <w:r>
        <w:rPr>
          <w:sz w:val="24"/>
          <w:szCs w:val="24"/>
        </w:rPr>
        <w:t>policy</w:t>
      </w:r>
      <w:r w:rsidRPr="00BD253F">
        <w:rPr>
          <w:sz w:val="24"/>
          <w:szCs w:val="24"/>
        </w:rPr>
        <w:t xml:space="preserve">, </w:t>
      </w:r>
      <w:r w:rsidRPr="00BD253F">
        <w:rPr>
          <w:i/>
          <w:sz w:val="24"/>
          <w:szCs w:val="24"/>
        </w:rPr>
        <w:t>K</w:t>
      </w:r>
      <w:r w:rsidRPr="00BD253F">
        <w:rPr>
          <w:sz w:val="24"/>
          <w:szCs w:val="24"/>
        </w:rPr>
        <w:t>.</w:t>
      </w:r>
    </w:p>
    <w:p w:rsidR="00400360" w:rsidRPr="00BD253F" w:rsidRDefault="00400360" w:rsidP="00400360">
      <w:pPr>
        <w:tabs>
          <w:tab w:val="left" w:pos="360"/>
        </w:tabs>
        <w:spacing w:line="480" w:lineRule="auto"/>
        <w:rPr>
          <w:sz w:val="24"/>
          <w:szCs w:val="24"/>
        </w:rPr>
      </w:pPr>
      <w:r w:rsidRPr="00BD253F">
        <w:rPr>
          <w:sz w:val="24"/>
          <w:szCs w:val="24"/>
        </w:rPr>
        <w:tab/>
      </w:r>
      <m:oMath>
        <m:sSubSup>
          <m:sSubSupPr>
            <m:ctrlPr>
              <w:rPr>
                <w:rFonts w:ascii="Cambria Math" w:hAnsi="Cambria Math"/>
                <w:i/>
                <w:sz w:val="24"/>
                <w:szCs w:val="24"/>
              </w:rPr>
            </m:ctrlPr>
          </m:sSubSupPr>
          <m:e>
            <m:r>
              <w:rPr>
                <w:rFonts w:ascii="Cambria Math" w:hAnsi="Cambria Math"/>
                <w:sz w:val="24"/>
                <w:szCs w:val="24"/>
              </w:rPr>
              <m:t>σ</m:t>
            </m:r>
          </m:e>
          <m:sub>
            <m:r>
              <w:rPr>
                <w:rFonts w:ascii="Cambria Math" w:hAnsi="Cambria Math"/>
                <w:sz w:val="24"/>
                <w:szCs w:val="24"/>
              </w:rPr>
              <m:t>P</m:t>
            </m:r>
          </m:sub>
          <m:sup>
            <m:r>
              <w:rPr>
                <w:rFonts w:ascii="Cambria Math" w:hAnsi="Cambria Math"/>
                <w:sz w:val="24"/>
                <w:szCs w:val="24"/>
              </w:rPr>
              <m:t>2</m:t>
            </m:r>
          </m:sup>
        </m:sSubSup>
        <m:r>
          <w:rPr>
            <w:rFonts w:ascii="Cambria Math" w:hAnsi="Cambria Math"/>
            <w:sz w:val="24"/>
            <w:szCs w:val="24"/>
          </w:rPr>
          <m:t>=</m:t>
        </m:r>
        <m:sSubSup>
          <m:sSubSupPr>
            <m:ctrlPr>
              <w:rPr>
                <w:rFonts w:ascii="Cambria Math" w:hAnsi="Cambria Math"/>
                <w:i/>
                <w:sz w:val="24"/>
                <w:szCs w:val="24"/>
              </w:rPr>
            </m:ctrlPr>
          </m:sSubSupPr>
          <m:e>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U</m:t>
                </m:r>
              </m:sub>
            </m:sSub>
            <m:r>
              <w:rPr>
                <w:rFonts w:ascii="Cambria Math" w:hAnsi="Cambria Math"/>
                <w:sz w:val="24"/>
                <w:szCs w:val="24"/>
              </w:rPr>
              <m:t>σ</m:t>
            </m:r>
          </m:e>
          <m:sub>
            <m:r>
              <w:rPr>
                <w:rFonts w:ascii="Cambria Math" w:hAnsi="Cambria Math"/>
                <w:sz w:val="24"/>
                <w:szCs w:val="24"/>
              </w:rPr>
              <m:t>U</m:t>
            </m:r>
          </m:sub>
          <m:sup>
            <m:r>
              <w:rPr>
                <w:rFonts w:ascii="Cambria Math" w:hAnsi="Cambria Math"/>
                <w:sz w:val="24"/>
                <w:szCs w:val="24"/>
              </w:rPr>
              <m:t>2</m:t>
            </m:r>
          </m:sup>
        </m:sSubSup>
        <m:r>
          <w:rPr>
            <w:rFonts w:ascii="Cambria Math" w:hAnsi="Cambria Math"/>
            <w:sz w:val="24"/>
            <w:szCs w:val="24"/>
          </w:rPr>
          <m:t>+</m:t>
        </m:r>
        <m:sSubSup>
          <m:sSubSupPr>
            <m:ctrlPr>
              <w:rPr>
                <w:rFonts w:ascii="Cambria Math" w:hAnsi="Cambria Math"/>
                <w:i/>
                <w:sz w:val="24"/>
                <w:szCs w:val="24"/>
              </w:rPr>
            </m:ctrlPr>
          </m:sSubSupPr>
          <m:e>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π</m:t>
                </m:r>
              </m:sub>
            </m:sSub>
            <m:r>
              <w:rPr>
                <w:rFonts w:ascii="Cambria Math" w:hAnsi="Cambria Math"/>
                <w:sz w:val="24"/>
                <w:szCs w:val="24"/>
              </w:rPr>
              <m:t>σ</m:t>
            </m:r>
          </m:e>
          <m:sub>
            <m:r>
              <w:rPr>
                <w:rFonts w:ascii="Cambria Math" w:hAnsi="Cambria Math"/>
                <w:sz w:val="24"/>
                <w:szCs w:val="24"/>
              </w:rPr>
              <m:t>π</m:t>
            </m:r>
          </m:sub>
          <m:sup>
            <m:r>
              <w:rPr>
                <w:rFonts w:ascii="Cambria Math" w:hAnsi="Cambria Math"/>
                <w:sz w:val="24"/>
                <w:szCs w:val="24"/>
              </w:rPr>
              <m:t>2</m:t>
            </m:r>
          </m:sup>
        </m:sSubSup>
        <m:r>
          <w:rPr>
            <w:rFonts w:ascii="Cambria Math" w:hAnsi="Cambria Math"/>
            <w:sz w:val="24"/>
            <w:szCs w:val="24"/>
          </w:rPr>
          <m:t>+</m:t>
        </m:r>
        <m:sSubSup>
          <m:sSubSupPr>
            <m:ctrlPr>
              <w:rPr>
                <w:rFonts w:ascii="Cambria Math" w:hAnsi="Cambria Math"/>
                <w:i/>
                <w:sz w:val="24"/>
                <w:szCs w:val="24"/>
              </w:rPr>
            </m:ctrlPr>
          </m:sSubSupPr>
          <m:e>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K</m:t>
                </m:r>
              </m:sub>
            </m:sSub>
            <m:r>
              <w:rPr>
                <w:rFonts w:ascii="Cambria Math" w:hAnsi="Cambria Math"/>
                <w:sz w:val="24"/>
                <w:szCs w:val="24"/>
              </w:rPr>
              <m:t>σ</m:t>
            </m:r>
          </m:e>
          <m:sub>
            <m:r>
              <w:rPr>
                <w:rFonts w:ascii="Cambria Math" w:hAnsi="Cambria Math"/>
                <w:sz w:val="24"/>
                <w:szCs w:val="24"/>
              </w:rPr>
              <m:t>K</m:t>
            </m:r>
          </m:sub>
          <m:sup>
            <m:r>
              <w:rPr>
                <w:rFonts w:ascii="Cambria Math" w:hAnsi="Cambria Math"/>
                <w:sz w:val="24"/>
                <w:szCs w:val="24"/>
              </w:rPr>
              <m:t>2</m:t>
            </m:r>
          </m:sup>
        </m:sSubSup>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Uπ</m:t>
            </m:r>
          </m:sub>
        </m:sSub>
        <m:r>
          <m:rPr>
            <m:sty m:val="p"/>
          </m:rPr>
          <w:rPr>
            <w:rFonts w:ascii="Cambria Math" w:hAnsi="Cambria Math"/>
            <w:sz w:val="24"/>
            <w:szCs w:val="24"/>
          </w:rPr>
          <m:t>cov</m:t>
        </m:r>
        <m:d>
          <m:dPr>
            <m:ctrlPr>
              <w:rPr>
                <w:rFonts w:ascii="Cambria Math" w:hAnsi="Cambria Math"/>
                <w:i/>
                <w:sz w:val="24"/>
                <w:szCs w:val="24"/>
              </w:rPr>
            </m:ctrlPr>
          </m:dPr>
          <m:e>
            <m:r>
              <w:rPr>
                <w:rFonts w:ascii="Cambria Math" w:hAnsi="Cambria Math"/>
                <w:sz w:val="24"/>
                <w:szCs w:val="24"/>
              </w:rPr>
              <m:t>U,π</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πK</m:t>
            </m:r>
          </m:sub>
        </m:sSub>
        <m:r>
          <m:rPr>
            <m:sty m:val="p"/>
          </m:rPr>
          <w:rPr>
            <w:rFonts w:ascii="Cambria Math" w:hAnsi="Cambria Math"/>
            <w:sz w:val="24"/>
            <w:szCs w:val="24"/>
          </w:rPr>
          <m:t>cov</m:t>
        </m:r>
        <m:d>
          <m:dPr>
            <m:ctrlPr>
              <w:rPr>
                <w:rFonts w:ascii="Cambria Math" w:hAnsi="Cambria Math"/>
                <w:i/>
                <w:sz w:val="24"/>
                <w:szCs w:val="24"/>
              </w:rPr>
            </m:ctrlPr>
          </m:dPr>
          <m:e>
            <m:r>
              <w:rPr>
                <w:rFonts w:ascii="Cambria Math" w:hAnsi="Cambria Math"/>
                <w:sz w:val="24"/>
                <w:szCs w:val="24"/>
              </w:rPr>
              <m:t>π,K</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UK</m:t>
            </m:r>
          </m:sub>
        </m:sSub>
        <m:r>
          <m:rPr>
            <m:sty m:val="p"/>
          </m:rPr>
          <w:rPr>
            <w:rFonts w:ascii="Cambria Math" w:hAnsi="Cambria Math"/>
            <w:sz w:val="24"/>
            <w:szCs w:val="24"/>
          </w:rPr>
          <m:t>cov</m:t>
        </m:r>
        <m:d>
          <m:dPr>
            <m:ctrlPr>
              <w:rPr>
                <w:rFonts w:ascii="Cambria Math" w:hAnsi="Cambria Math"/>
                <w:i/>
                <w:sz w:val="24"/>
                <w:szCs w:val="24"/>
              </w:rPr>
            </m:ctrlPr>
          </m:dPr>
          <m:e>
            <m:r>
              <w:rPr>
                <w:rFonts w:ascii="Cambria Math" w:hAnsi="Cambria Math"/>
                <w:sz w:val="24"/>
                <w:szCs w:val="24"/>
              </w:rPr>
              <m:t>U,K</m:t>
            </m:r>
          </m:e>
        </m:d>
      </m:oMath>
      <w:r w:rsidRPr="00BD253F">
        <w:rPr>
          <w:sz w:val="24"/>
          <w:szCs w:val="24"/>
        </w:rPr>
        <w:t>.</w:t>
      </w:r>
      <w:r>
        <w:rPr>
          <w:sz w:val="24"/>
          <w:szCs w:val="24"/>
        </w:rPr>
        <w:t xml:space="preserve">  </w:t>
      </w:r>
      <m:oMath>
        <m:d>
          <m:dPr>
            <m:ctrlPr>
              <w:rPr>
                <w:rFonts w:ascii="Cambria Math" w:hAnsi="Cambria Math"/>
                <w:i/>
                <w:sz w:val="24"/>
                <w:szCs w:val="24"/>
              </w:rPr>
            </m:ctrlPr>
          </m:dPr>
          <m:e>
            <m:r>
              <w:rPr>
                <w:rFonts w:ascii="Cambria Math" w:hAnsi="Cambria Math"/>
                <w:sz w:val="24"/>
                <w:szCs w:val="24"/>
              </w:rPr>
              <m:t>3</m:t>
            </m:r>
          </m:e>
        </m:d>
      </m:oMath>
    </w:p>
    <w:p w:rsidR="00400360" w:rsidRDefault="00400360" w:rsidP="004C60B0">
      <w:pPr>
        <w:spacing w:line="480" w:lineRule="auto"/>
        <w:ind w:firstLine="720"/>
        <w:jc w:val="both"/>
        <w:rPr>
          <w:sz w:val="24"/>
          <w:szCs w:val="24"/>
        </w:rPr>
      </w:pPr>
      <w:r w:rsidRPr="00BD253F">
        <w:rPr>
          <w:sz w:val="24"/>
          <w:szCs w:val="24"/>
        </w:rPr>
        <w:t xml:space="preserve">The null hypothesis is that underlying property fundamentals and financial risk premia account for all </w:t>
      </w:r>
      <w:r>
        <w:rPr>
          <w:sz w:val="24"/>
          <w:szCs w:val="24"/>
        </w:rPr>
        <w:t xml:space="preserve">CRE </w:t>
      </w:r>
      <w:r w:rsidRPr="00BD253F">
        <w:rPr>
          <w:sz w:val="24"/>
          <w:szCs w:val="24"/>
        </w:rPr>
        <w:t>price volatility</w:t>
      </w:r>
      <w:r w:rsidR="00E873BA">
        <w:rPr>
          <w:sz w:val="24"/>
          <w:szCs w:val="24"/>
        </w:rPr>
        <w:t xml:space="preserve">, then </w:t>
      </w:r>
      <w:r w:rsidRPr="00BD253F">
        <w:rPr>
          <w:sz w:val="24"/>
          <w:szCs w:val="24"/>
        </w:rPr>
        <w:t>the consequence from credit availability is zero (</w:t>
      </w:r>
      <m:oMath>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K</m:t>
            </m:r>
          </m:sub>
        </m:sSub>
        <m:r>
          <w:rPr>
            <w:rFonts w:ascii="Cambria Math" w:hAnsi="Cambria Math"/>
            <w:sz w:val="24"/>
            <w:szCs w:val="24"/>
          </w:rPr>
          <m:t>=0</m:t>
        </m:r>
      </m:oMath>
      <w:r w:rsidRPr="00BD253F">
        <w:rPr>
          <w:sz w:val="24"/>
          <w:szCs w:val="24"/>
        </w:rPr>
        <w:t>). If, instead, excess credit enables increased investment beyond level</w:t>
      </w:r>
      <w:r w:rsidR="003F1773">
        <w:rPr>
          <w:sz w:val="24"/>
          <w:szCs w:val="24"/>
        </w:rPr>
        <w:t>s</w:t>
      </w:r>
      <w:r w:rsidRPr="00BD253F">
        <w:rPr>
          <w:sz w:val="24"/>
          <w:szCs w:val="24"/>
        </w:rPr>
        <w:t xml:space="preserve"> supported by property fundamentals </w:t>
      </w:r>
      <w:r w:rsidR="003F1773">
        <w:rPr>
          <w:sz w:val="24"/>
          <w:szCs w:val="24"/>
        </w:rPr>
        <w:t xml:space="preserve">or </w:t>
      </w:r>
      <w:r w:rsidRPr="00BD253F">
        <w:rPr>
          <w:sz w:val="24"/>
          <w:szCs w:val="24"/>
        </w:rPr>
        <w:t xml:space="preserve">the financial risk premia, then the null hypothesis will be rejected. Alternatively, during periods of credit scarcity, underinvestment may occur with asset prices driven below values that would be justified by </w:t>
      </w:r>
      <w:r>
        <w:rPr>
          <w:sz w:val="24"/>
          <w:szCs w:val="24"/>
        </w:rPr>
        <w:t xml:space="preserve">risk-adjusted cash flows. </w:t>
      </w:r>
      <w:r w:rsidRPr="00BD253F">
        <w:rPr>
          <w:sz w:val="24"/>
          <w:szCs w:val="24"/>
        </w:rPr>
        <w:t xml:space="preserve">The specific empirical goal is to quantify the relative change in </w:t>
      </w:r>
      <w:r>
        <w:rPr>
          <w:sz w:val="24"/>
          <w:szCs w:val="24"/>
        </w:rPr>
        <w:t xml:space="preserve">CRE </w:t>
      </w:r>
      <w:r w:rsidRPr="00BD253F">
        <w:rPr>
          <w:sz w:val="24"/>
          <w:szCs w:val="24"/>
        </w:rPr>
        <w:t>prices result</w:t>
      </w:r>
      <w:r w:rsidR="005C1BB9">
        <w:rPr>
          <w:sz w:val="24"/>
          <w:szCs w:val="24"/>
        </w:rPr>
        <w:t xml:space="preserve">ing </w:t>
      </w:r>
      <w:r w:rsidRPr="00BD253F">
        <w:rPr>
          <w:sz w:val="24"/>
          <w:szCs w:val="24"/>
        </w:rPr>
        <w:t xml:space="preserve">from credit </w:t>
      </w:r>
      <w:r w:rsidR="005C1BB9">
        <w:rPr>
          <w:sz w:val="24"/>
          <w:szCs w:val="24"/>
        </w:rPr>
        <w:t>policy</w:t>
      </w:r>
      <w:r w:rsidRPr="00BD253F">
        <w:rPr>
          <w:sz w:val="24"/>
          <w:szCs w:val="24"/>
        </w:rPr>
        <w:t xml:space="preserve">. </w:t>
      </w:r>
    </w:p>
    <w:p w:rsidR="009F2DA8" w:rsidRDefault="00063CC4" w:rsidP="00345D57">
      <w:pPr>
        <w:spacing w:line="480" w:lineRule="auto"/>
        <w:ind w:firstLine="720"/>
        <w:jc w:val="both"/>
        <w:rPr>
          <w:sz w:val="24"/>
          <w:szCs w:val="24"/>
        </w:rPr>
      </w:pPr>
      <w:r>
        <w:rPr>
          <w:sz w:val="24"/>
          <w:szCs w:val="24"/>
        </w:rPr>
        <w:t xml:space="preserve">A related issue </w:t>
      </w:r>
      <w:r w:rsidR="001B7315">
        <w:rPr>
          <w:sz w:val="24"/>
          <w:szCs w:val="24"/>
        </w:rPr>
        <w:t>(</w:t>
      </w:r>
      <w:r>
        <w:rPr>
          <w:sz w:val="24"/>
          <w:szCs w:val="24"/>
        </w:rPr>
        <w:t>to the lending channel</w:t>
      </w:r>
      <w:r w:rsidR="001B7315">
        <w:rPr>
          <w:sz w:val="24"/>
          <w:szCs w:val="24"/>
        </w:rPr>
        <w:t>)</w:t>
      </w:r>
      <w:r>
        <w:rPr>
          <w:sz w:val="24"/>
          <w:szCs w:val="24"/>
        </w:rPr>
        <w:t xml:space="preserve"> </w:t>
      </w:r>
      <w:r w:rsidR="00092531">
        <w:rPr>
          <w:sz w:val="24"/>
          <w:szCs w:val="24"/>
        </w:rPr>
        <w:t xml:space="preserve">involves the impact of </w:t>
      </w:r>
      <w:r>
        <w:rPr>
          <w:sz w:val="24"/>
          <w:szCs w:val="24"/>
        </w:rPr>
        <w:t>liquidity in CRE markets</w:t>
      </w:r>
      <w:r w:rsidR="004C60B0">
        <w:rPr>
          <w:sz w:val="24"/>
          <w:szCs w:val="24"/>
        </w:rPr>
        <w:t xml:space="preserve">. </w:t>
      </w:r>
      <w:r>
        <w:rPr>
          <w:sz w:val="24"/>
          <w:szCs w:val="24"/>
        </w:rPr>
        <w:t xml:space="preserve">Relaxed underwriting </w:t>
      </w:r>
      <w:r w:rsidR="00DE5419">
        <w:rPr>
          <w:sz w:val="24"/>
          <w:szCs w:val="24"/>
        </w:rPr>
        <w:t xml:space="preserve">constraints </w:t>
      </w:r>
      <w:r w:rsidR="00345D57">
        <w:rPr>
          <w:sz w:val="24"/>
          <w:szCs w:val="24"/>
        </w:rPr>
        <w:t xml:space="preserve">potentially </w:t>
      </w:r>
      <w:r w:rsidR="00DE5419">
        <w:rPr>
          <w:sz w:val="24"/>
          <w:szCs w:val="24"/>
        </w:rPr>
        <w:t>impact</w:t>
      </w:r>
      <w:r>
        <w:rPr>
          <w:sz w:val="24"/>
          <w:szCs w:val="24"/>
        </w:rPr>
        <w:t xml:space="preserve"> CRE transaction market</w:t>
      </w:r>
      <w:r w:rsidR="00DE5419">
        <w:rPr>
          <w:sz w:val="24"/>
          <w:szCs w:val="24"/>
        </w:rPr>
        <w:t>s</w:t>
      </w:r>
      <w:r w:rsidR="00F96BDE">
        <w:rPr>
          <w:sz w:val="24"/>
          <w:szCs w:val="24"/>
        </w:rPr>
        <w:t xml:space="preserve"> </w:t>
      </w:r>
      <w:r w:rsidR="00345D57">
        <w:rPr>
          <w:sz w:val="24"/>
          <w:szCs w:val="24"/>
        </w:rPr>
        <w:t xml:space="preserve">in at least three ways: </w:t>
      </w:r>
      <w:r w:rsidR="00F96BDE">
        <w:rPr>
          <w:sz w:val="24"/>
          <w:szCs w:val="24"/>
        </w:rPr>
        <w:t xml:space="preserve">(i) </w:t>
      </w:r>
      <w:r w:rsidR="00345D57">
        <w:rPr>
          <w:sz w:val="24"/>
          <w:szCs w:val="24"/>
        </w:rPr>
        <w:t xml:space="preserve">by </w:t>
      </w:r>
      <w:r w:rsidR="00F96BDE">
        <w:rPr>
          <w:sz w:val="24"/>
          <w:szCs w:val="24"/>
        </w:rPr>
        <w:t>increasing liquid</w:t>
      </w:r>
      <w:r w:rsidR="00345D57">
        <w:rPr>
          <w:sz w:val="24"/>
          <w:szCs w:val="24"/>
        </w:rPr>
        <w:t xml:space="preserve">ity, (ii) by enabling unsophisticated </w:t>
      </w:r>
      <w:r w:rsidR="003147DF">
        <w:rPr>
          <w:sz w:val="24"/>
          <w:szCs w:val="24"/>
        </w:rPr>
        <w:t xml:space="preserve">market </w:t>
      </w:r>
      <w:r w:rsidR="00345D57">
        <w:rPr>
          <w:sz w:val="24"/>
          <w:szCs w:val="24"/>
        </w:rPr>
        <w:lastRenderedPageBreak/>
        <w:t>entrants, and (iii) by revising levered valuations</w:t>
      </w:r>
      <w:r w:rsidR="004C60B0">
        <w:rPr>
          <w:sz w:val="24"/>
          <w:szCs w:val="24"/>
        </w:rPr>
        <w:t xml:space="preserve">. </w:t>
      </w:r>
      <w:r w:rsidR="00345D57">
        <w:rPr>
          <w:sz w:val="24"/>
          <w:szCs w:val="24"/>
        </w:rPr>
        <w:t xml:space="preserve">An overall </w:t>
      </w:r>
      <w:r>
        <w:rPr>
          <w:sz w:val="24"/>
          <w:szCs w:val="24"/>
        </w:rPr>
        <w:t xml:space="preserve">increase </w:t>
      </w:r>
      <w:r w:rsidR="00345D57">
        <w:rPr>
          <w:sz w:val="24"/>
          <w:szCs w:val="24"/>
        </w:rPr>
        <w:t xml:space="preserve">in the </w:t>
      </w:r>
      <w:r>
        <w:rPr>
          <w:sz w:val="24"/>
          <w:szCs w:val="24"/>
        </w:rPr>
        <w:t xml:space="preserve">supply of </w:t>
      </w:r>
      <w:r w:rsidR="00345D57">
        <w:rPr>
          <w:sz w:val="24"/>
          <w:szCs w:val="24"/>
        </w:rPr>
        <w:t xml:space="preserve">CRE </w:t>
      </w:r>
      <w:r>
        <w:rPr>
          <w:sz w:val="24"/>
          <w:szCs w:val="24"/>
        </w:rPr>
        <w:t xml:space="preserve">loanable funds </w:t>
      </w:r>
      <w:r w:rsidR="00DE5419">
        <w:rPr>
          <w:sz w:val="24"/>
          <w:szCs w:val="24"/>
        </w:rPr>
        <w:t xml:space="preserve">can </w:t>
      </w:r>
      <w:r w:rsidR="00345D57">
        <w:rPr>
          <w:sz w:val="24"/>
          <w:szCs w:val="24"/>
        </w:rPr>
        <w:t>create an increase in</w:t>
      </w:r>
      <w:r>
        <w:rPr>
          <w:sz w:val="24"/>
          <w:szCs w:val="24"/>
        </w:rPr>
        <w:t xml:space="preserve"> market liquidity, </w:t>
      </w:r>
      <w:r w:rsidR="00345D57">
        <w:rPr>
          <w:sz w:val="24"/>
          <w:szCs w:val="24"/>
        </w:rPr>
        <w:t>reducing</w:t>
      </w:r>
      <w:r>
        <w:rPr>
          <w:sz w:val="24"/>
          <w:szCs w:val="24"/>
        </w:rPr>
        <w:t xml:space="preserve"> the liquidity premium, </w:t>
      </w:r>
      <w:r w:rsidR="00345D57">
        <w:rPr>
          <w:sz w:val="24"/>
          <w:szCs w:val="24"/>
        </w:rPr>
        <w:t>resulting in higher valuations</w:t>
      </w:r>
      <w:r w:rsidR="004C60B0">
        <w:rPr>
          <w:sz w:val="24"/>
          <w:szCs w:val="24"/>
        </w:rPr>
        <w:t xml:space="preserve">. </w:t>
      </w:r>
      <w:r w:rsidR="00DE5419">
        <w:rPr>
          <w:sz w:val="24"/>
          <w:szCs w:val="24"/>
        </w:rPr>
        <w:t>Ling, Marcato</w:t>
      </w:r>
      <w:r w:rsidR="00E873BA">
        <w:rPr>
          <w:sz w:val="24"/>
          <w:szCs w:val="24"/>
        </w:rPr>
        <w:t xml:space="preserve"> and</w:t>
      </w:r>
      <w:r w:rsidR="00DE5419">
        <w:rPr>
          <w:sz w:val="24"/>
          <w:szCs w:val="24"/>
        </w:rPr>
        <w:t xml:space="preserve"> McAllister (2009) argue that increased transactions volume enhances price revelation, reducing investment risk associated with noisy asset values. </w:t>
      </w:r>
      <w:r>
        <w:rPr>
          <w:sz w:val="24"/>
          <w:szCs w:val="24"/>
        </w:rPr>
        <w:t xml:space="preserve">Rising </w:t>
      </w:r>
      <w:r w:rsidR="00345D57">
        <w:rPr>
          <w:sz w:val="24"/>
          <w:szCs w:val="24"/>
        </w:rPr>
        <w:t xml:space="preserve">asset </w:t>
      </w:r>
      <w:r>
        <w:rPr>
          <w:sz w:val="24"/>
          <w:szCs w:val="24"/>
        </w:rPr>
        <w:t xml:space="preserve">prices </w:t>
      </w:r>
      <w:r w:rsidR="00345D57">
        <w:rPr>
          <w:sz w:val="24"/>
          <w:szCs w:val="24"/>
        </w:rPr>
        <w:t xml:space="preserve">add favor to </w:t>
      </w:r>
      <w:r>
        <w:rPr>
          <w:sz w:val="24"/>
          <w:szCs w:val="24"/>
        </w:rPr>
        <w:t>the CRE outlook, attracting increased investment in a liquidity feedback loop</w:t>
      </w:r>
      <w:r w:rsidR="004C60B0">
        <w:rPr>
          <w:sz w:val="24"/>
          <w:szCs w:val="24"/>
        </w:rPr>
        <w:t xml:space="preserve">. </w:t>
      </w:r>
      <w:r>
        <w:rPr>
          <w:sz w:val="24"/>
          <w:szCs w:val="24"/>
        </w:rPr>
        <w:t xml:space="preserve">Clayton (2009) </w:t>
      </w:r>
      <w:r w:rsidR="00345D57">
        <w:rPr>
          <w:sz w:val="24"/>
          <w:szCs w:val="24"/>
        </w:rPr>
        <w:t>discusses the</w:t>
      </w:r>
      <w:r>
        <w:rPr>
          <w:sz w:val="24"/>
          <w:szCs w:val="24"/>
        </w:rPr>
        <w:t xml:space="preserve"> liquidity feedback loop wherein </w:t>
      </w:r>
      <w:r w:rsidR="004B1E7E">
        <w:rPr>
          <w:sz w:val="24"/>
          <w:szCs w:val="24"/>
        </w:rPr>
        <w:t xml:space="preserve">credit </w:t>
      </w:r>
      <w:r w:rsidR="00345D57">
        <w:rPr>
          <w:sz w:val="24"/>
          <w:szCs w:val="24"/>
        </w:rPr>
        <w:t xml:space="preserve">availability </w:t>
      </w:r>
      <w:r w:rsidR="004B1E7E">
        <w:rPr>
          <w:sz w:val="24"/>
          <w:szCs w:val="24"/>
        </w:rPr>
        <w:t xml:space="preserve">enables </w:t>
      </w:r>
      <w:r w:rsidR="00345D57">
        <w:rPr>
          <w:sz w:val="24"/>
          <w:szCs w:val="24"/>
        </w:rPr>
        <w:t xml:space="preserve">investment </w:t>
      </w:r>
      <w:r w:rsidR="004B1E7E">
        <w:rPr>
          <w:sz w:val="24"/>
          <w:szCs w:val="24"/>
        </w:rPr>
        <w:t xml:space="preserve">demand for CRE assets, </w:t>
      </w:r>
      <w:r w:rsidR="00345D57">
        <w:rPr>
          <w:sz w:val="24"/>
          <w:szCs w:val="24"/>
        </w:rPr>
        <w:t>producing increased transactions</w:t>
      </w:r>
      <w:r w:rsidR="004B1E7E">
        <w:rPr>
          <w:sz w:val="24"/>
          <w:szCs w:val="24"/>
        </w:rPr>
        <w:t xml:space="preserve"> </w:t>
      </w:r>
      <w:r w:rsidR="00345D57">
        <w:rPr>
          <w:sz w:val="24"/>
          <w:szCs w:val="24"/>
        </w:rPr>
        <w:t xml:space="preserve">and </w:t>
      </w:r>
      <w:r w:rsidR="004B1E7E">
        <w:rPr>
          <w:sz w:val="24"/>
          <w:szCs w:val="24"/>
        </w:rPr>
        <w:t xml:space="preserve">liquidity, </w:t>
      </w:r>
      <w:r w:rsidR="00345D57">
        <w:rPr>
          <w:sz w:val="24"/>
          <w:szCs w:val="24"/>
        </w:rPr>
        <w:t xml:space="preserve">which puts upward pressure on </w:t>
      </w:r>
      <w:r w:rsidR="004B1E7E">
        <w:rPr>
          <w:sz w:val="24"/>
          <w:szCs w:val="24"/>
        </w:rPr>
        <w:t xml:space="preserve">CRE </w:t>
      </w:r>
      <w:r w:rsidR="00345D57">
        <w:rPr>
          <w:sz w:val="24"/>
          <w:szCs w:val="24"/>
        </w:rPr>
        <w:t>values</w:t>
      </w:r>
      <w:r w:rsidR="004B1E7E">
        <w:rPr>
          <w:sz w:val="24"/>
          <w:szCs w:val="24"/>
        </w:rPr>
        <w:t xml:space="preserve">, </w:t>
      </w:r>
      <w:r w:rsidR="00345D57">
        <w:rPr>
          <w:sz w:val="24"/>
          <w:szCs w:val="24"/>
        </w:rPr>
        <w:t>which causes CRE lending to look increasingly attractive</w:t>
      </w:r>
      <w:r w:rsidR="004B1E7E">
        <w:rPr>
          <w:sz w:val="24"/>
          <w:szCs w:val="24"/>
        </w:rPr>
        <w:t xml:space="preserve">, and </w:t>
      </w:r>
      <w:r w:rsidR="004B1E7E" w:rsidRPr="00C719AD">
        <w:rPr>
          <w:sz w:val="24"/>
          <w:szCs w:val="24"/>
        </w:rPr>
        <w:t>so on</w:t>
      </w:r>
      <w:r w:rsidR="004C60B0" w:rsidRPr="00C719AD">
        <w:rPr>
          <w:sz w:val="24"/>
          <w:szCs w:val="24"/>
        </w:rPr>
        <w:t xml:space="preserve">. </w:t>
      </w:r>
      <w:r w:rsidR="00345D57" w:rsidRPr="00C719AD">
        <w:rPr>
          <w:sz w:val="24"/>
          <w:szCs w:val="24"/>
        </w:rPr>
        <w:t xml:space="preserve">Effects on CRE prices </w:t>
      </w:r>
      <w:r w:rsidR="00C719AD" w:rsidRPr="00C719AD">
        <w:rPr>
          <w:sz w:val="24"/>
          <w:szCs w:val="24"/>
        </w:rPr>
        <w:t xml:space="preserve">responding to </w:t>
      </w:r>
      <w:r w:rsidR="00345D57" w:rsidRPr="00C719AD">
        <w:rPr>
          <w:sz w:val="24"/>
          <w:szCs w:val="24"/>
        </w:rPr>
        <w:t xml:space="preserve">the liquidity impact should be related to </w:t>
      </w:r>
      <w:r w:rsidR="00520C38">
        <w:rPr>
          <w:sz w:val="24"/>
          <w:szCs w:val="24"/>
        </w:rPr>
        <w:t xml:space="preserve">empirical </w:t>
      </w:r>
      <w:r w:rsidR="00345D57" w:rsidRPr="00C719AD">
        <w:rPr>
          <w:sz w:val="24"/>
          <w:szCs w:val="24"/>
        </w:rPr>
        <w:t>measures for CRE transaction volume.</w:t>
      </w:r>
    </w:p>
    <w:p w:rsidR="00967CE6" w:rsidRDefault="004B1E7E" w:rsidP="00A55C9C">
      <w:pPr>
        <w:spacing w:line="480" w:lineRule="auto"/>
        <w:ind w:firstLine="720"/>
        <w:jc w:val="both"/>
        <w:rPr>
          <w:sz w:val="24"/>
          <w:szCs w:val="24"/>
        </w:rPr>
      </w:pPr>
      <w:r>
        <w:rPr>
          <w:sz w:val="24"/>
          <w:szCs w:val="24"/>
        </w:rPr>
        <w:t xml:space="preserve">Liquidity alone is known to </w:t>
      </w:r>
      <w:r w:rsidR="004E37F5">
        <w:rPr>
          <w:sz w:val="24"/>
          <w:szCs w:val="24"/>
        </w:rPr>
        <w:t xml:space="preserve">correspond with periods of rising </w:t>
      </w:r>
      <w:r>
        <w:rPr>
          <w:sz w:val="24"/>
          <w:szCs w:val="24"/>
        </w:rPr>
        <w:t xml:space="preserve">asset prices </w:t>
      </w:r>
      <w:r w:rsidR="00A756E5">
        <w:rPr>
          <w:sz w:val="24"/>
          <w:szCs w:val="24"/>
        </w:rPr>
        <w:t>and has been studied extensively in the finance literature.</w:t>
      </w:r>
      <w:r w:rsidR="004C60B0">
        <w:rPr>
          <w:sz w:val="24"/>
          <w:szCs w:val="24"/>
        </w:rPr>
        <w:t xml:space="preserve"> </w:t>
      </w:r>
      <w:r w:rsidR="00967CE6">
        <w:rPr>
          <w:sz w:val="24"/>
          <w:szCs w:val="24"/>
        </w:rPr>
        <w:t>Considering cross-sectional empirical evidence, r</w:t>
      </w:r>
      <w:r w:rsidR="00867328">
        <w:rPr>
          <w:sz w:val="24"/>
          <w:szCs w:val="24"/>
        </w:rPr>
        <w:t>equired returns are higher and asset prices lower for less liquid assets or assets with high liquidity risk</w:t>
      </w:r>
      <w:r w:rsidR="00454E83">
        <w:rPr>
          <w:sz w:val="24"/>
          <w:szCs w:val="24"/>
        </w:rPr>
        <w:t xml:space="preserve"> (Amihud, Mendelson</w:t>
      </w:r>
      <w:r w:rsidR="00E873BA">
        <w:rPr>
          <w:sz w:val="24"/>
          <w:szCs w:val="24"/>
        </w:rPr>
        <w:t xml:space="preserve"> and</w:t>
      </w:r>
      <w:r w:rsidR="00454E83">
        <w:rPr>
          <w:sz w:val="24"/>
          <w:szCs w:val="24"/>
        </w:rPr>
        <w:t xml:space="preserve"> Pedersen, 2005)</w:t>
      </w:r>
      <w:r w:rsidR="00867328">
        <w:rPr>
          <w:sz w:val="24"/>
          <w:szCs w:val="24"/>
        </w:rPr>
        <w:t xml:space="preserve">. </w:t>
      </w:r>
      <w:r w:rsidR="00AB74C6">
        <w:rPr>
          <w:sz w:val="24"/>
          <w:szCs w:val="24"/>
        </w:rPr>
        <w:t>On a time-series basis, the evidence is less conclusive. S</w:t>
      </w:r>
      <w:r w:rsidR="00AB74C6" w:rsidRPr="007D7629">
        <w:rPr>
          <w:sz w:val="24"/>
          <w:szCs w:val="24"/>
        </w:rPr>
        <w:t xml:space="preserve">tock prices and liquidity </w:t>
      </w:r>
      <w:r w:rsidR="00145FC2">
        <w:rPr>
          <w:sz w:val="24"/>
          <w:szCs w:val="24"/>
        </w:rPr>
        <w:t xml:space="preserve">exhibit </w:t>
      </w:r>
      <w:r w:rsidR="00AB74C6" w:rsidRPr="007D7629">
        <w:rPr>
          <w:sz w:val="24"/>
          <w:szCs w:val="24"/>
        </w:rPr>
        <w:t xml:space="preserve">a strong </w:t>
      </w:r>
      <w:r w:rsidR="007D7629" w:rsidRPr="007D7629">
        <w:rPr>
          <w:sz w:val="24"/>
          <w:szCs w:val="24"/>
        </w:rPr>
        <w:t xml:space="preserve">positive </w:t>
      </w:r>
      <w:r w:rsidR="00AB74C6" w:rsidRPr="007D7629">
        <w:rPr>
          <w:sz w:val="24"/>
          <w:szCs w:val="24"/>
        </w:rPr>
        <w:t>contemporaneous relation</w:t>
      </w:r>
      <w:r w:rsidR="007D7629" w:rsidRPr="007D7629">
        <w:rPr>
          <w:sz w:val="24"/>
          <w:szCs w:val="24"/>
        </w:rPr>
        <w:t>, but the case for causality is mixed</w:t>
      </w:r>
      <w:r w:rsidR="00AB74C6" w:rsidRPr="007D7629">
        <w:rPr>
          <w:sz w:val="24"/>
          <w:szCs w:val="24"/>
        </w:rPr>
        <w:t>.</w:t>
      </w:r>
      <w:r w:rsidR="007D7629">
        <w:rPr>
          <w:sz w:val="24"/>
          <w:szCs w:val="24"/>
        </w:rPr>
        <w:t xml:space="preserve"> </w:t>
      </w:r>
      <w:r w:rsidR="00DF7D9A">
        <w:rPr>
          <w:sz w:val="24"/>
          <w:szCs w:val="24"/>
        </w:rPr>
        <w:t>Increases in trading volume tend to follow periods of higher returns, yet there is only limited evidence that future higher returns are Granger caused by increases in trading volume (Karpoff, 1987; Chen, Firth</w:t>
      </w:r>
      <w:r w:rsidR="00E873BA">
        <w:rPr>
          <w:sz w:val="24"/>
          <w:szCs w:val="24"/>
        </w:rPr>
        <w:t xml:space="preserve"> and</w:t>
      </w:r>
      <w:r w:rsidR="00DF7D9A">
        <w:rPr>
          <w:sz w:val="24"/>
          <w:szCs w:val="24"/>
        </w:rPr>
        <w:t xml:space="preserve"> Rui, 2001; Lee and Rui, 2002; Chuang, Kuan</w:t>
      </w:r>
      <w:r w:rsidR="00E873BA">
        <w:rPr>
          <w:sz w:val="24"/>
          <w:szCs w:val="24"/>
        </w:rPr>
        <w:t xml:space="preserve"> and</w:t>
      </w:r>
      <w:r w:rsidR="00DF7D9A">
        <w:rPr>
          <w:sz w:val="24"/>
          <w:szCs w:val="24"/>
        </w:rPr>
        <w:t xml:space="preserve"> Lin, 2009).</w:t>
      </w:r>
      <w:r w:rsidR="00120B16">
        <w:rPr>
          <w:sz w:val="24"/>
          <w:szCs w:val="24"/>
        </w:rPr>
        <w:t xml:space="preserve"> </w:t>
      </w:r>
      <w:r w:rsidR="00DF7D9A">
        <w:rPr>
          <w:sz w:val="24"/>
          <w:szCs w:val="24"/>
        </w:rPr>
        <w:t xml:space="preserve">On the other hand, </w:t>
      </w:r>
      <w:r w:rsidR="007D7629">
        <w:rPr>
          <w:sz w:val="24"/>
          <w:szCs w:val="24"/>
        </w:rPr>
        <w:t xml:space="preserve">Kaniel, </w:t>
      </w:r>
      <w:r w:rsidR="00454E83">
        <w:rPr>
          <w:sz w:val="24"/>
          <w:szCs w:val="24"/>
        </w:rPr>
        <w:t>Ozoguz</w:t>
      </w:r>
      <w:r w:rsidR="00E873BA">
        <w:rPr>
          <w:sz w:val="24"/>
          <w:szCs w:val="24"/>
        </w:rPr>
        <w:t xml:space="preserve"> and</w:t>
      </w:r>
      <w:r w:rsidR="00454E83">
        <w:rPr>
          <w:sz w:val="24"/>
          <w:szCs w:val="24"/>
        </w:rPr>
        <w:t xml:space="preserve"> Starks (2012</w:t>
      </w:r>
      <w:r w:rsidR="007D7629">
        <w:rPr>
          <w:sz w:val="24"/>
          <w:szCs w:val="24"/>
        </w:rPr>
        <w:t>) and Gervais, Kaniel</w:t>
      </w:r>
      <w:r w:rsidR="00E873BA">
        <w:rPr>
          <w:sz w:val="24"/>
          <w:szCs w:val="24"/>
        </w:rPr>
        <w:t xml:space="preserve"> and</w:t>
      </w:r>
      <w:r w:rsidR="007D7629">
        <w:rPr>
          <w:sz w:val="24"/>
          <w:szCs w:val="24"/>
        </w:rPr>
        <w:t xml:space="preserve"> Mingelgrin (2001) provide evidence for a very specific connection between liquidity and asset prices: the high volume return premium. </w:t>
      </w:r>
    </w:p>
    <w:p w:rsidR="00900342" w:rsidRDefault="004B1E7E" w:rsidP="00A55C9C">
      <w:pPr>
        <w:spacing w:line="480" w:lineRule="auto"/>
        <w:ind w:firstLine="720"/>
        <w:jc w:val="both"/>
        <w:rPr>
          <w:sz w:val="24"/>
          <w:szCs w:val="24"/>
        </w:rPr>
      </w:pPr>
      <w:r w:rsidRPr="007D7629">
        <w:rPr>
          <w:sz w:val="24"/>
          <w:szCs w:val="24"/>
        </w:rPr>
        <w:lastRenderedPageBreak/>
        <w:t>In CRE</w:t>
      </w:r>
      <w:r w:rsidR="008771EF" w:rsidRPr="007D7629">
        <w:rPr>
          <w:sz w:val="24"/>
          <w:szCs w:val="24"/>
        </w:rPr>
        <w:t xml:space="preserve"> markets</w:t>
      </w:r>
      <w:r w:rsidRPr="007D7629">
        <w:rPr>
          <w:sz w:val="24"/>
          <w:szCs w:val="24"/>
        </w:rPr>
        <w:t>, new entrants</w:t>
      </w:r>
      <w:r>
        <w:rPr>
          <w:sz w:val="24"/>
          <w:szCs w:val="24"/>
        </w:rPr>
        <w:t xml:space="preserve"> to the transaction market</w:t>
      </w:r>
      <w:r w:rsidR="00867328" w:rsidRPr="00867328">
        <w:rPr>
          <w:sz w:val="24"/>
          <w:szCs w:val="24"/>
        </w:rPr>
        <w:t xml:space="preserve"> </w:t>
      </w:r>
      <w:r w:rsidR="00867328">
        <w:rPr>
          <w:sz w:val="24"/>
          <w:szCs w:val="24"/>
        </w:rPr>
        <w:t>potentially arrive as a consequence of less restrictive credit standards</w:t>
      </w:r>
      <w:r w:rsidR="00120B16">
        <w:rPr>
          <w:sz w:val="24"/>
          <w:szCs w:val="24"/>
        </w:rPr>
        <w:t xml:space="preserve"> – increasing liquidity</w:t>
      </w:r>
      <w:r>
        <w:rPr>
          <w:sz w:val="24"/>
          <w:szCs w:val="24"/>
        </w:rPr>
        <w:t>, such as marginal borrowers who m</w:t>
      </w:r>
      <w:r w:rsidR="00C719AD">
        <w:rPr>
          <w:sz w:val="24"/>
          <w:szCs w:val="24"/>
        </w:rPr>
        <w:t>ay have previously been capital-</w:t>
      </w:r>
      <w:r>
        <w:rPr>
          <w:sz w:val="24"/>
          <w:szCs w:val="24"/>
        </w:rPr>
        <w:t xml:space="preserve">constrained and unable to purchase </w:t>
      </w:r>
      <w:r w:rsidR="00C719AD">
        <w:rPr>
          <w:sz w:val="24"/>
          <w:szCs w:val="24"/>
        </w:rPr>
        <w:t xml:space="preserve">bulky </w:t>
      </w:r>
      <w:r>
        <w:rPr>
          <w:sz w:val="24"/>
          <w:szCs w:val="24"/>
        </w:rPr>
        <w:t>CRE assets</w:t>
      </w:r>
      <w:r w:rsidR="004C60B0">
        <w:rPr>
          <w:sz w:val="24"/>
          <w:szCs w:val="24"/>
        </w:rPr>
        <w:t xml:space="preserve">. </w:t>
      </w:r>
      <w:r w:rsidR="00C719AD">
        <w:rPr>
          <w:sz w:val="24"/>
          <w:szCs w:val="24"/>
        </w:rPr>
        <w:t>New entrants to any market typically have a lower degree of sophistication</w:t>
      </w:r>
      <w:r>
        <w:rPr>
          <w:sz w:val="24"/>
          <w:szCs w:val="24"/>
        </w:rPr>
        <w:t xml:space="preserve">, </w:t>
      </w:r>
      <w:r w:rsidR="00C719AD">
        <w:rPr>
          <w:sz w:val="24"/>
          <w:szCs w:val="24"/>
        </w:rPr>
        <w:t xml:space="preserve">such as </w:t>
      </w:r>
      <w:r>
        <w:rPr>
          <w:sz w:val="24"/>
          <w:szCs w:val="24"/>
        </w:rPr>
        <w:t xml:space="preserve">uninformed buyers </w:t>
      </w:r>
      <w:r w:rsidR="00CC5E62">
        <w:rPr>
          <w:sz w:val="24"/>
          <w:szCs w:val="24"/>
        </w:rPr>
        <w:t xml:space="preserve">with </w:t>
      </w:r>
      <w:r>
        <w:rPr>
          <w:sz w:val="24"/>
          <w:szCs w:val="24"/>
        </w:rPr>
        <w:t>unrealistic valuations</w:t>
      </w:r>
      <w:r w:rsidR="00B66170">
        <w:rPr>
          <w:sz w:val="24"/>
          <w:szCs w:val="24"/>
        </w:rPr>
        <w:t xml:space="preserve"> or “irrationally over-optimistic traders”</w:t>
      </w:r>
      <w:r w:rsidR="00C13B0B">
        <w:rPr>
          <w:sz w:val="24"/>
          <w:szCs w:val="24"/>
        </w:rPr>
        <w:t xml:space="preserve"> (Clayton, MacKinnon and Peng, 2005)</w:t>
      </w:r>
      <w:r w:rsidR="00CC5E62">
        <w:rPr>
          <w:sz w:val="24"/>
          <w:szCs w:val="24"/>
        </w:rPr>
        <w:t>.</w:t>
      </w:r>
      <w:r>
        <w:rPr>
          <w:sz w:val="24"/>
          <w:szCs w:val="24"/>
        </w:rPr>
        <w:t xml:space="preserve"> In </w:t>
      </w:r>
      <w:r w:rsidR="00CC5E62">
        <w:rPr>
          <w:sz w:val="24"/>
          <w:szCs w:val="24"/>
        </w:rPr>
        <w:t>the</w:t>
      </w:r>
      <w:r>
        <w:rPr>
          <w:sz w:val="24"/>
          <w:szCs w:val="24"/>
        </w:rPr>
        <w:t xml:space="preserve"> game that </w:t>
      </w:r>
      <w:r w:rsidR="00A815F7">
        <w:rPr>
          <w:sz w:val="24"/>
          <w:szCs w:val="24"/>
        </w:rPr>
        <w:t xml:space="preserve">potentially </w:t>
      </w:r>
      <w:r>
        <w:rPr>
          <w:sz w:val="24"/>
          <w:szCs w:val="24"/>
        </w:rPr>
        <w:t xml:space="preserve">ends </w:t>
      </w:r>
      <w:r w:rsidR="00A815F7">
        <w:rPr>
          <w:sz w:val="24"/>
          <w:szCs w:val="24"/>
        </w:rPr>
        <w:t xml:space="preserve">with </w:t>
      </w:r>
      <w:r>
        <w:rPr>
          <w:sz w:val="24"/>
          <w:szCs w:val="24"/>
        </w:rPr>
        <w:t xml:space="preserve">winner’s curse, buyers </w:t>
      </w:r>
      <w:r w:rsidR="00CC5E62">
        <w:rPr>
          <w:sz w:val="24"/>
          <w:szCs w:val="24"/>
        </w:rPr>
        <w:t>with uni</w:t>
      </w:r>
      <w:r w:rsidR="00923C48">
        <w:rPr>
          <w:sz w:val="24"/>
          <w:szCs w:val="24"/>
        </w:rPr>
        <w:t>n</w:t>
      </w:r>
      <w:r w:rsidR="00CC5E62">
        <w:rPr>
          <w:sz w:val="24"/>
          <w:szCs w:val="24"/>
        </w:rPr>
        <w:t xml:space="preserve">formed values </w:t>
      </w:r>
      <w:r>
        <w:rPr>
          <w:sz w:val="24"/>
          <w:szCs w:val="24"/>
        </w:rPr>
        <w:t xml:space="preserve">walk away from the bidding war </w:t>
      </w:r>
      <w:r w:rsidR="00CC5E62">
        <w:rPr>
          <w:sz w:val="24"/>
          <w:szCs w:val="24"/>
        </w:rPr>
        <w:t>victorious</w:t>
      </w:r>
      <w:r w:rsidR="004C60B0">
        <w:rPr>
          <w:sz w:val="24"/>
          <w:szCs w:val="24"/>
        </w:rPr>
        <w:t xml:space="preserve">. </w:t>
      </w:r>
      <w:r>
        <w:rPr>
          <w:sz w:val="24"/>
          <w:szCs w:val="24"/>
        </w:rPr>
        <w:t xml:space="preserve">To the extent that </w:t>
      </w:r>
      <w:r w:rsidR="00CC5E62">
        <w:rPr>
          <w:sz w:val="24"/>
          <w:szCs w:val="24"/>
        </w:rPr>
        <w:t xml:space="preserve">a reduction in </w:t>
      </w:r>
      <w:r>
        <w:rPr>
          <w:sz w:val="24"/>
          <w:szCs w:val="24"/>
        </w:rPr>
        <w:t xml:space="preserve">credit </w:t>
      </w:r>
      <w:r w:rsidR="00CC5E62">
        <w:rPr>
          <w:sz w:val="24"/>
          <w:szCs w:val="24"/>
        </w:rPr>
        <w:t xml:space="preserve">tightening </w:t>
      </w:r>
      <w:r>
        <w:rPr>
          <w:sz w:val="24"/>
          <w:szCs w:val="24"/>
        </w:rPr>
        <w:t>coincide</w:t>
      </w:r>
      <w:r w:rsidR="00CC5E62">
        <w:rPr>
          <w:sz w:val="24"/>
          <w:szCs w:val="24"/>
        </w:rPr>
        <w:t>s</w:t>
      </w:r>
      <w:r>
        <w:rPr>
          <w:sz w:val="24"/>
          <w:szCs w:val="24"/>
        </w:rPr>
        <w:t xml:space="preserve"> with the arrival of </w:t>
      </w:r>
      <w:r w:rsidR="00CC5E62">
        <w:rPr>
          <w:sz w:val="24"/>
          <w:szCs w:val="24"/>
        </w:rPr>
        <w:t>unsophisticated buyers</w:t>
      </w:r>
      <w:r>
        <w:rPr>
          <w:sz w:val="24"/>
          <w:szCs w:val="24"/>
        </w:rPr>
        <w:t xml:space="preserve">, CRE prices will be bid up due to </w:t>
      </w:r>
      <w:r w:rsidR="00CC5E62">
        <w:rPr>
          <w:sz w:val="24"/>
          <w:szCs w:val="24"/>
        </w:rPr>
        <w:t>increases in information asymmetry</w:t>
      </w:r>
      <w:r w:rsidR="004C60B0">
        <w:rPr>
          <w:sz w:val="24"/>
          <w:szCs w:val="24"/>
        </w:rPr>
        <w:t xml:space="preserve">. </w:t>
      </w:r>
      <w:r w:rsidR="00CC5E62">
        <w:rPr>
          <w:sz w:val="24"/>
          <w:szCs w:val="24"/>
        </w:rPr>
        <w:t>N</w:t>
      </w:r>
      <w:r w:rsidR="00D03469">
        <w:rPr>
          <w:sz w:val="24"/>
          <w:szCs w:val="24"/>
        </w:rPr>
        <w:t xml:space="preserve">ew buyers </w:t>
      </w:r>
      <w:r w:rsidR="00CC5E62">
        <w:rPr>
          <w:sz w:val="24"/>
          <w:szCs w:val="24"/>
        </w:rPr>
        <w:t xml:space="preserve">may enter </w:t>
      </w:r>
      <w:r w:rsidR="00D03469">
        <w:rPr>
          <w:sz w:val="24"/>
          <w:szCs w:val="24"/>
        </w:rPr>
        <w:t xml:space="preserve">the </w:t>
      </w:r>
      <w:r w:rsidR="00CC5E62">
        <w:rPr>
          <w:sz w:val="24"/>
          <w:szCs w:val="24"/>
        </w:rPr>
        <w:t xml:space="preserve">CRE </w:t>
      </w:r>
      <w:r w:rsidR="00D03469">
        <w:rPr>
          <w:sz w:val="24"/>
          <w:szCs w:val="24"/>
        </w:rPr>
        <w:t xml:space="preserve">market </w:t>
      </w:r>
      <w:r w:rsidR="00CC5E62">
        <w:rPr>
          <w:sz w:val="24"/>
          <w:szCs w:val="24"/>
        </w:rPr>
        <w:t xml:space="preserve">when </w:t>
      </w:r>
      <w:r w:rsidR="00D03469">
        <w:rPr>
          <w:sz w:val="24"/>
          <w:szCs w:val="24"/>
        </w:rPr>
        <w:t xml:space="preserve">underwriting standards are relaxed, such as </w:t>
      </w:r>
      <w:r w:rsidR="00CC5E62">
        <w:rPr>
          <w:sz w:val="24"/>
          <w:szCs w:val="24"/>
        </w:rPr>
        <w:t xml:space="preserve">occurs when </w:t>
      </w:r>
      <w:r w:rsidR="00D03469">
        <w:rPr>
          <w:sz w:val="24"/>
          <w:szCs w:val="24"/>
        </w:rPr>
        <w:t xml:space="preserve">CRE loans </w:t>
      </w:r>
      <w:r w:rsidR="00CC5E62">
        <w:rPr>
          <w:sz w:val="24"/>
          <w:szCs w:val="24"/>
        </w:rPr>
        <w:t xml:space="preserve">are </w:t>
      </w:r>
      <w:r w:rsidR="00D03469">
        <w:rPr>
          <w:sz w:val="24"/>
          <w:szCs w:val="24"/>
        </w:rPr>
        <w:t xml:space="preserve">underwritten with higher </w:t>
      </w:r>
      <w:r w:rsidR="000772B2">
        <w:rPr>
          <w:sz w:val="24"/>
          <w:szCs w:val="24"/>
        </w:rPr>
        <w:t>loan-to-value (</w:t>
      </w:r>
      <w:r w:rsidR="00D03469">
        <w:rPr>
          <w:sz w:val="24"/>
          <w:szCs w:val="24"/>
        </w:rPr>
        <w:t>LTV</w:t>
      </w:r>
      <w:r w:rsidR="000772B2">
        <w:rPr>
          <w:sz w:val="24"/>
          <w:szCs w:val="24"/>
        </w:rPr>
        <w:t>)</w:t>
      </w:r>
      <w:r w:rsidR="00D03469">
        <w:rPr>
          <w:sz w:val="24"/>
          <w:szCs w:val="24"/>
        </w:rPr>
        <w:t xml:space="preserve"> ratios or lower </w:t>
      </w:r>
      <w:r w:rsidR="000772B2">
        <w:rPr>
          <w:sz w:val="24"/>
          <w:szCs w:val="24"/>
        </w:rPr>
        <w:t>debt service coverage</w:t>
      </w:r>
      <w:r w:rsidR="00D03469">
        <w:rPr>
          <w:sz w:val="24"/>
          <w:szCs w:val="24"/>
        </w:rPr>
        <w:t xml:space="preserve"> ratios</w:t>
      </w:r>
      <w:r w:rsidR="000772B2">
        <w:rPr>
          <w:sz w:val="24"/>
          <w:szCs w:val="24"/>
        </w:rPr>
        <w:t xml:space="preserve"> (DSCR)</w:t>
      </w:r>
      <w:r w:rsidR="00900342">
        <w:rPr>
          <w:sz w:val="24"/>
          <w:szCs w:val="24"/>
        </w:rPr>
        <w:t xml:space="preserve">. </w:t>
      </w:r>
    </w:p>
    <w:p w:rsidR="00D03469" w:rsidRDefault="00D03469" w:rsidP="007A61BB">
      <w:pPr>
        <w:spacing w:line="480" w:lineRule="auto"/>
        <w:ind w:firstLine="720"/>
        <w:jc w:val="both"/>
        <w:rPr>
          <w:sz w:val="24"/>
          <w:szCs w:val="24"/>
        </w:rPr>
      </w:pPr>
      <w:r w:rsidRPr="00230623">
        <w:rPr>
          <w:sz w:val="24"/>
          <w:szCs w:val="24"/>
        </w:rPr>
        <w:t xml:space="preserve">Beyond </w:t>
      </w:r>
      <w:r w:rsidR="00230623" w:rsidRPr="00230623">
        <w:rPr>
          <w:sz w:val="24"/>
          <w:szCs w:val="24"/>
        </w:rPr>
        <w:t xml:space="preserve">effects for </w:t>
      </w:r>
      <w:r w:rsidRPr="00230623">
        <w:rPr>
          <w:sz w:val="24"/>
          <w:szCs w:val="24"/>
        </w:rPr>
        <w:t xml:space="preserve">liquidity and uninformed </w:t>
      </w:r>
      <w:r w:rsidR="00230623" w:rsidRPr="00230623">
        <w:rPr>
          <w:sz w:val="24"/>
          <w:szCs w:val="24"/>
        </w:rPr>
        <w:t>investors</w:t>
      </w:r>
      <w:r w:rsidRPr="00230623">
        <w:rPr>
          <w:sz w:val="24"/>
          <w:szCs w:val="24"/>
        </w:rPr>
        <w:t xml:space="preserve">, credit availability also has the potential to adjust valuations </w:t>
      </w:r>
      <w:r w:rsidR="00230623" w:rsidRPr="00230623">
        <w:rPr>
          <w:sz w:val="24"/>
          <w:szCs w:val="24"/>
        </w:rPr>
        <w:t>f</w:t>
      </w:r>
      <w:r w:rsidRPr="00230623">
        <w:rPr>
          <w:sz w:val="24"/>
          <w:szCs w:val="24"/>
        </w:rPr>
        <w:t>o</w:t>
      </w:r>
      <w:r w:rsidR="00230623" w:rsidRPr="00230623">
        <w:rPr>
          <w:sz w:val="24"/>
          <w:szCs w:val="24"/>
        </w:rPr>
        <w:t>r</w:t>
      </w:r>
      <w:r w:rsidRPr="00230623">
        <w:rPr>
          <w:sz w:val="24"/>
          <w:szCs w:val="24"/>
        </w:rPr>
        <w:t xml:space="preserve"> </w:t>
      </w:r>
      <w:r w:rsidR="00230623">
        <w:rPr>
          <w:sz w:val="24"/>
          <w:szCs w:val="24"/>
        </w:rPr>
        <w:t>a representative investor</w:t>
      </w:r>
      <w:r w:rsidRPr="00230623">
        <w:rPr>
          <w:sz w:val="24"/>
          <w:szCs w:val="24"/>
        </w:rPr>
        <w:t xml:space="preserve"> in the market – due to the high degree </w:t>
      </w:r>
      <w:r>
        <w:rPr>
          <w:sz w:val="24"/>
          <w:szCs w:val="24"/>
        </w:rPr>
        <w:t xml:space="preserve">of </w:t>
      </w:r>
      <w:r w:rsidRPr="000772B2">
        <w:rPr>
          <w:sz w:val="24"/>
          <w:szCs w:val="24"/>
        </w:rPr>
        <w:t>financial leveraged used in the typical CRE purchase</w:t>
      </w:r>
      <w:r w:rsidR="004C60B0" w:rsidRPr="000772B2">
        <w:rPr>
          <w:sz w:val="24"/>
          <w:szCs w:val="24"/>
        </w:rPr>
        <w:t xml:space="preserve">. </w:t>
      </w:r>
      <w:r w:rsidRPr="000772B2">
        <w:rPr>
          <w:sz w:val="24"/>
          <w:szCs w:val="24"/>
        </w:rPr>
        <w:t>Consider a</w:t>
      </w:r>
      <w:r w:rsidR="00363BF6" w:rsidRPr="000772B2">
        <w:rPr>
          <w:sz w:val="24"/>
          <w:szCs w:val="24"/>
        </w:rPr>
        <w:t>n asset that yields NOI of $1, annual NOI growth equals 1 percent, the exit cap rate on a five-year hold is 5 percent, and the cost of debt for a five-year interest-only loan is 3 percent</w:t>
      </w:r>
      <w:r w:rsidR="009C2030">
        <w:rPr>
          <w:sz w:val="24"/>
          <w:szCs w:val="24"/>
        </w:rPr>
        <w:t xml:space="preserve"> (i.e., positive leverage)</w:t>
      </w:r>
      <w:r w:rsidR="00363BF6" w:rsidRPr="000772B2">
        <w:rPr>
          <w:sz w:val="24"/>
          <w:szCs w:val="24"/>
        </w:rPr>
        <w:t>.</w:t>
      </w:r>
      <w:r w:rsidR="00363BF6" w:rsidRPr="000772B2">
        <w:rPr>
          <w:rStyle w:val="FootnoteReference"/>
          <w:sz w:val="24"/>
          <w:szCs w:val="24"/>
        </w:rPr>
        <w:footnoteReference w:id="2"/>
      </w:r>
      <w:r w:rsidR="008264B3">
        <w:rPr>
          <w:sz w:val="24"/>
          <w:szCs w:val="24"/>
        </w:rPr>
        <w:t xml:space="preserve"> </w:t>
      </w:r>
      <w:r w:rsidR="00363BF6" w:rsidRPr="000772B2">
        <w:rPr>
          <w:sz w:val="24"/>
          <w:szCs w:val="24"/>
        </w:rPr>
        <w:t xml:space="preserve">For an investor seeking 10 percent leveraged returns, </w:t>
      </w:r>
      <w:r w:rsidR="00FF7B78" w:rsidRPr="000772B2">
        <w:rPr>
          <w:sz w:val="24"/>
          <w:szCs w:val="24"/>
        </w:rPr>
        <w:t>the difference between banks willing to lend $10 versus $14 toward the purchase impacts their valuation by 5.42 percent.</w:t>
      </w:r>
      <w:r w:rsidR="00FF7B78" w:rsidRPr="000772B2">
        <w:rPr>
          <w:rStyle w:val="FootnoteReference"/>
          <w:sz w:val="24"/>
          <w:szCs w:val="24"/>
        </w:rPr>
        <w:footnoteReference w:id="3"/>
      </w:r>
      <w:r w:rsidR="008264B3">
        <w:rPr>
          <w:sz w:val="24"/>
          <w:szCs w:val="24"/>
        </w:rPr>
        <w:t xml:space="preserve"> </w:t>
      </w:r>
      <w:r w:rsidRPr="000772B2">
        <w:rPr>
          <w:sz w:val="24"/>
          <w:szCs w:val="24"/>
        </w:rPr>
        <w:t xml:space="preserve">This </w:t>
      </w:r>
      <w:r w:rsidR="000772B2">
        <w:rPr>
          <w:sz w:val="24"/>
          <w:szCs w:val="24"/>
        </w:rPr>
        <w:t xml:space="preserve">illustrates </w:t>
      </w:r>
      <w:r w:rsidRPr="000772B2">
        <w:rPr>
          <w:sz w:val="24"/>
          <w:szCs w:val="24"/>
        </w:rPr>
        <w:t xml:space="preserve">the </w:t>
      </w:r>
      <w:r w:rsidR="000772B2">
        <w:rPr>
          <w:sz w:val="24"/>
          <w:szCs w:val="24"/>
        </w:rPr>
        <w:t>v</w:t>
      </w:r>
      <w:r w:rsidRPr="000772B2">
        <w:rPr>
          <w:sz w:val="24"/>
          <w:szCs w:val="24"/>
        </w:rPr>
        <w:t>aluation effect of credit availability</w:t>
      </w:r>
      <w:r w:rsidR="004C60B0" w:rsidRPr="000772B2">
        <w:rPr>
          <w:sz w:val="24"/>
          <w:szCs w:val="24"/>
        </w:rPr>
        <w:t xml:space="preserve">. </w:t>
      </w:r>
      <w:r w:rsidR="000772B2">
        <w:rPr>
          <w:sz w:val="24"/>
          <w:szCs w:val="24"/>
        </w:rPr>
        <w:t xml:space="preserve">While underwriting standards include both LTV and DSCR, LTV ratios are more likely </w:t>
      </w:r>
      <w:r w:rsidR="000772B2">
        <w:rPr>
          <w:sz w:val="24"/>
          <w:szCs w:val="24"/>
        </w:rPr>
        <w:lastRenderedPageBreak/>
        <w:t xml:space="preserve">to be the binding criteria in a low interest rate environment. </w:t>
      </w:r>
      <w:r w:rsidR="00374E99">
        <w:rPr>
          <w:sz w:val="24"/>
          <w:szCs w:val="24"/>
        </w:rPr>
        <w:t>The</w:t>
      </w:r>
      <w:r>
        <w:rPr>
          <w:sz w:val="24"/>
          <w:szCs w:val="24"/>
        </w:rPr>
        <w:t xml:space="preserve"> challenge with </w:t>
      </w:r>
      <w:r w:rsidR="00374E99">
        <w:rPr>
          <w:sz w:val="24"/>
          <w:szCs w:val="24"/>
        </w:rPr>
        <w:t xml:space="preserve">quantifying the valuation </w:t>
      </w:r>
      <w:r>
        <w:rPr>
          <w:sz w:val="24"/>
          <w:szCs w:val="24"/>
        </w:rPr>
        <w:t>effect is that LTV and DSCR standards are difficult to observe</w:t>
      </w:r>
      <w:r w:rsidR="00374E99" w:rsidRPr="00374E99">
        <w:rPr>
          <w:sz w:val="24"/>
          <w:szCs w:val="24"/>
        </w:rPr>
        <w:t xml:space="preserve"> </w:t>
      </w:r>
      <w:r w:rsidR="00374E99">
        <w:rPr>
          <w:sz w:val="24"/>
          <w:szCs w:val="24"/>
        </w:rPr>
        <w:t>directly</w:t>
      </w:r>
      <w:r w:rsidR="004C60B0">
        <w:rPr>
          <w:sz w:val="24"/>
          <w:szCs w:val="24"/>
        </w:rPr>
        <w:t>.</w:t>
      </w:r>
      <w:r w:rsidR="008264B3">
        <w:rPr>
          <w:sz w:val="24"/>
          <w:szCs w:val="24"/>
        </w:rPr>
        <w:t xml:space="preserve"> </w:t>
      </w:r>
    </w:p>
    <w:p w:rsidR="004B1E7E" w:rsidRDefault="00D03469" w:rsidP="00ED1563">
      <w:pPr>
        <w:spacing w:line="480" w:lineRule="auto"/>
        <w:ind w:firstLine="720"/>
        <w:jc w:val="both"/>
        <w:rPr>
          <w:sz w:val="24"/>
          <w:szCs w:val="24"/>
        </w:rPr>
      </w:pPr>
      <w:r>
        <w:rPr>
          <w:sz w:val="24"/>
          <w:szCs w:val="24"/>
        </w:rPr>
        <w:t xml:space="preserve">Wilcox (2012) </w:t>
      </w:r>
      <w:r w:rsidR="002A4AA1">
        <w:rPr>
          <w:sz w:val="24"/>
          <w:szCs w:val="24"/>
        </w:rPr>
        <w:t>develops an</w:t>
      </w:r>
      <w:r>
        <w:rPr>
          <w:sz w:val="24"/>
          <w:szCs w:val="24"/>
        </w:rPr>
        <w:t xml:space="preserve"> index </w:t>
      </w:r>
      <w:r w:rsidR="002A4AA1">
        <w:rPr>
          <w:sz w:val="24"/>
          <w:szCs w:val="24"/>
        </w:rPr>
        <w:t xml:space="preserve">for CRE </w:t>
      </w:r>
      <w:r>
        <w:rPr>
          <w:sz w:val="24"/>
          <w:szCs w:val="24"/>
        </w:rPr>
        <w:t>mortgage underwriting</w:t>
      </w:r>
      <w:r w:rsidR="00ED1563">
        <w:rPr>
          <w:sz w:val="24"/>
          <w:szCs w:val="24"/>
        </w:rPr>
        <w:t xml:space="preserve">. Wilcox </w:t>
      </w:r>
      <w:r w:rsidR="002A4AA1">
        <w:rPr>
          <w:sz w:val="24"/>
          <w:szCs w:val="24"/>
        </w:rPr>
        <w:t>a</w:t>
      </w:r>
      <w:r w:rsidR="00ED1563">
        <w:rPr>
          <w:sz w:val="24"/>
          <w:szCs w:val="24"/>
        </w:rPr>
        <w:t>rgues</w:t>
      </w:r>
      <w:r>
        <w:rPr>
          <w:sz w:val="24"/>
          <w:szCs w:val="24"/>
        </w:rPr>
        <w:t xml:space="preserve"> that LTV ratios </w:t>
      </w:r>
      <w:r w:rsidR="002A4AA1">
        <w:rPr>
          <w:sz w:val="24"/>
          <w:szCs w:val="24"/>
        </w:rPr>
        <w:t xml:space="preserve">alone </w:t>
      </w:r>
      <w:r>
        <w:rPr>
          <w:sz w:val="24"/>
          <w:szCs w:val="24"/>
        </w:rPr>
        <w:t>are unlikely to accurately reflect underwriting standards</w:t>
      </w:r>
      <w:r w:rsidR="00ED1563">
        <w:rPr>
          <w:sz w:val="24"/>
          <w:szCs w:val="24"/>
        </w:rPr>
        <w:t xml:space="preserve"> due to unobserved mezzanine debt in CRE, issues with accurately estimating CRE values, and that LTV is but one of many terms negotiated by borrowers in the typical CRE deal</w:t>
      </w:r>
      <w:r w:rsidR="004C60B0">
        <w:rPr>
          <w:sz w:val="24"/>
          <w:szCs w:val="24"/>
        </w:rPr>
        <w:t xml:space="preserve">. </w:t>
      </w:r>
      <w:r w:rsidR="00ED1563">
        <w:rPr>
          <w:sz w:val="24"/>
          <w:szCs w:val="24"/>
        </w:rPr>
        <w:t>The last comment echoes the notion that LTV ratios are potentially endogenous with a host of other underwriting criteria, as suggested by Grovenstein</w:t>
      </w:r>
      <w:r w:rsidR="00B161D6" w:rsidRPr="008C4152">
        <w:rPr>
          <w:sz w:val="24"/>
          <w:szCs w:val="24"/>
        </w:rPr>
        <w:t>, Harding, Sirmans, Thebpanya</w:t>
      </w:r>
      <w:r w:rsidR="00B161D6">
        <w:rPr>
          <w:sz w:val="24"/>
          <w:szCs w:val="24"/>
        </w:rPr>
        <w:t xml:space="preserve"> and</w:t>
      </w:r>
      <w:r w:rsidR="00B161D6" w:rsidRPr="008C4152">
        <w:rPr>
          <w:sz w:val="24"/>
          <w:szCs w:val="24"/>
        </w:rPr>
        <w:t xml:space="preserve"> Turnbull</w:t>
      </w:r>
      <w:r w:rsidR="00ED1563">
        <w:rPr>
          <w:sz w:val="24"/>
          <w:szCs w:val="24"/>
        </w:rPr>
        <w:t xml:space="preserve"> (2007). Wilcox f</w:t>
      </w:r>
      <w:r>
        <w:rPr>
          <w:sz w:val="24"/>
          <w:szCs w:val="24"/>
        </w:rPr>
        <w:t xml:space="preserve">inds that underwriting loosened </w:t>
      </w:r>
      <w:r w:rsidR="00ED1563">
        <w:rPr>
          <w:sz w:val="24"/>
          <w:szCs w:val="24"/>
        </w:rPr>
        <w:t xml:space="preserve">in response to </w:t>
      </w:r>
      <w:r>
        <w:rPr>
          <w:sz w:val="24"/>
          <w:szCs w:val="24"/>
        </w:rPr>
        <w:t xml:space="preserve">CRE </w:t>
      </w:r>
      <w:r w:rsidR="00ED1563">
        <w:rPr>
          <w:sz w:val="24"/>
          <w:szCs w:val="24"/>
        </w:rPr>
        <w:t xml:space="preserve">asset price appreciation, exacerbating the CRE price cycle, confirming the feedback loop </w:t>
      </w:r>
      <w:r w:rsidR="00520C38">
        <w:rPr>
          <w:sz w:val="24"/>
          <w:szCs w:val="24"/>
        </w:rPr>
        <w:t xml:space="preserve">outlined </w:t>
      </w:r>
      <w:r w:rsidR="008B3925">
        <w:rPr>
          <w:sz w:val="24"/>
          <w:szCs w:val="24"/>
        </w:rPr>
        <w:t xml:space="preserve">by </w:t>
      </w:r>
      <w:r w:rsidR="00ED1563">
        <w:rPr>
          <w:sz w:val="24"/>
          <w:szCs w:val="24"/>
        </w:rPr>
        <w:t>Clayton (2009).</w:t>
      </w:r>
      <w:r w:rsidR="008264B3">
        <w:rPr>
          <w:sz w:val="24"/>
          <w:szCs w:val="24"/>
        </w:rPr>
        <w:t xml:space="preserve"> </w:t>
      </w:r>
    </w:p>
    <w:p w:rsidR="00063CC4" w:rsidRDefault="00681C0B" w:rsidP="00681C0B">
      <w:pPr>
        <w:spacing w:line="480" w:lineRule="auto"/>
        <w:ind w:firstLine="720"/>
        <w:jc w:val="both"/>
        <w:rPr>
          <w:sz w:val="24"/>
          <w:szCs w:val="24"/>
        </w:rPr>
      </w:pPr>
      <w:r>
        <w:rPr>
          <w:sz w:val="24"/>
          <w:szCs w:val="24"/>
        </w:rPr>
        <w:t xml:space="preserve">While underwriting quality may be very difficult to measure directly, and potential increases in transaction volume may have confounding effects, it is possible to evaluate the impact of reported bank tightening while controlling for liquidity effects. </w:t>
      </w:r>
      <w:r w:rsidR="009F2DA8">
        <w:rPr>
          <w:sz w:val="24"/>
          <w:szCs w:val="24"/>
        </w:rPr>
        <w:t>In the work most closely related to the present study, Ling</w:t>
      </w:r>
      <w:r w:rsidR="007306E8">
        <w:rPr>
          <w:sz w:val="24"/>
          <w:szCs w:val="24"/>
        </w:rPr>
        <w:t>, Naranjo</w:t>
      </w:r>
      <w:r w:rsidR="00E873BA">
        <w:rPr>
          <w:sz w:val="24"/>
          <w:szCs w:val="24"/>
        </w:rPr>
        <w:t xml:space="preserve"> and</w:t>
      </w:r>
      <w:r w:rsidR="007306E8">
        <w:rPr>
          <w:sz w:val="24"/>
          <w:szCs w:val="24"/>
        </w:rPr>
        <w:t xml:space="preserve"> Scheick</w:t>
      </w:r>
      <w:r w:rsidR="009F2DA8">
        <w:rPr>
          <w:sz w:val="24"/>
          <w:szCs w:val="24"/>
        </w:rPr>
        <w:t xml:space="preserve"> (2014) provide such a test</w:t>
      </w:r>
      <w:r w:rsidR="004C60B0">
        <w:rPr>
          <w:sz w:val="24"/>
          <w:szCs w:val="24"/>
        </w:rPr>
        <w:t xml:space="preserve">. </w:t>
      </w:r>
      <w:r w:rsidR="009F2DA8">
        <w:rPr>
          <w:sz w:val="24"/>
          <w:szCs w:val="24"/>
        </w:rPr>
        <w:t xml:space="preserve">The authors run a VAR model, </w:t>
      </w:r>
      <w:r>
        <w:rPr>
          <w:sz w:val="24"/>
          <w:szCs w:val="24"/>
        </w:rPr>
        <w:t xml:space="preserve">evaluating </w:t>
      </w:r>
      <w:r w:rsidR="009F2DA8">
        <w:rPr>
          <w:sz w:val="24"/>
          <w:szCs w:val="24"/>
        </w:rPr>
        <w:t>liquidity, returns</w:t>
      </w:r>
      <w:r>
        <w:rPr>
          <w:sz w:val="24"/>
          <w:szCs w:val="24"/>
        </w:rPr>
        <w:t>,</w:t>
      </w:r>
      <w:r w:rsidR="009F2DA8">
        <w:rPr>
          <w:sz w:val="24"/>
          <w:szCs w:val="24"/>
        </w:rPr>
        <w:t xml:space="preserve"> credit </w:t>
      </w:r>
      <w:r w:rsidR="00E12868">
        <w:rPr>
          <w:sz w:val="24"/>
          <w:szCs w:val="24"/>
        </w:rPr>
        <w:t>tightening</w:t>
      </w:r>
      <w:r w:rsidR="00E873BA">
        <w:rPr>
          <w:sz w:val="24"/>
          <w:szCs w:val="24"/>
        </w:rPr>
        <w:t>,</w:t>
      </w:r>
      <w:r w:rsidR="00E12868">
        <w:rPr>
          <w:sz w:val="24"/>
          <w:szCs w:val="24"/>
        </w:rPr>
        <w:t xml:space="preserve"> </w:t>
      </w:r>
      <w:r>
        <w:rPr>
          <w:sz w:val="24"/>
          <w:szCs w:val="24"/>
        </w:rPr>
        <w:t>and investor sentiment</w:t>
      </w:r>
      <w:r w:rsidR="00E12868">
        <w:rPr>
          <w:sz w:val="24"/>
          <w:szCs w:val="24"/>
        </w:rPr>
        <w:t xml:space="preserve"> for public and private CRE markets</w:t>
      </w:r>
      <w:r w:rsidR="004C60B0">
        <w:rPr>
          <w:sz w:val="24"/>
          <w:szCs w:val="24"/>
        </w:rPr>
        <w:t xml:space="preserve">. </w:t>
      </w:r>
    </w:p>
    <w:p w:rsidR="00063CC4" w:rsidRDefault="009F2DA8" w:rsidP="00176F57">
      <w:pPr>
        <w:spacing w:line="480" w:lineRule="auto"/>
        <w:jc w:val="both"/>
        <w:rPr>
          <w:sz w:val="24"/>
          <w:szCs w:val="24"/>
        </w:rPr>
      </w:pPr>
      <w:r>
        <w:rPr>
          <w:sz w:val="24"/>
          <w:szCs w:val="24"/>
        </w:rPr>
        <w:tab/>
      </w:r>
      <w:r w:rsidR="007A61BB">
        <w:rPr>
          <w:sz w:val="24"/>
          <w:szCs w:val="24"/>
        </w:rPr>
        <w:t>A key distinction</w:t>
      </w:r>
      <w:r>
        <w:rPr>
          <w:sz w:val="24"/>
          <w:szCs w:val="24"/>
        </w:rPr>
        <w:t xml:space="preserve"> </w:t>
      </w:r>
      <w:r w:rsidR="00E12868">
        <w:rPr>
          <w:sz w:val="24"/>
          <w:szCs w:val="24"/>
        </w:rPr>
        <w:t>from the Ling</w:t>
      </w:r>
      <w:r w:rsidR="000E4452">
        <w:rPr>
          <w:sz w:val="24"/>
          <w:szCs w:val="24"/>
        </w:rPr>
        <w:t>,</w:t>
      </w:r>
      <w:r w:rsidR="00E12868">
        <w:rPr>
          <w:sz w:val="24"/>
          <w:szCs w:val="24"/>
        </w:rPr>
        <w:t xml:space="preserve"> </w:t>
      </w:r>
      <w:r w:rsidR="000E4452">
        <w:rPr>
          <w:sz w:val="24"/>
          <w:szCs w:val="24"/>
        </w:rPr>
        <w:t>Naranjo</w:t>
      </w:r>
      <w:r w:rsidR="00E873BA">
        <w:rPr>
          <w:sz w:val="24"/>
          <w:szCs w:val="24"/>
        </w:rPr>
        <w:t xml:space="preserve"> and</w:t>
      </w:r>
      <w:r w:rsidR="000E4452">
        <w:rPr>
          <w:sz w:val="24"/>
          <w:szCs w:val="24"/>
        </w:rPr>
        <w:t xml:space="preserve"> Scheick (2014) </w:t>
      </w:r>
      <w:r w:rsidR="00E12868">
        <w:rPr>
          <w:sz w:val="24"/>
          <w:szCs w:val="24"/>
        </w:rPr>
        <w:t xml:space="preserve">study </w:t>
      </w:r>
      <w:r w:rsidR="007A61BB">
        <w:rPr>
          <w:sz w:val="24"/>
          <w:szCs w:val="24"/>
        </w:rPr>
        <w:t xml:space="preserve">is </w:t>
      </w:r>
      <w:r w:rsidR="00E12868">
        <w:rPr>
          <w:sz w:val="24"/>
          <w:szCs w:val="24"/>
        </w:rPr>
        <w:t>that, in the current</w:t>
      </w:r>
      <w:r>
        <w:rPr>
          <w:sz w:val="24"/>
          <w:szCs w:val="24"/>
        </w:rPr>
        <w:t xml:space="preserve"> study, </w:t>
      </w:r>
      <w:r w:rsidR="00E12868">
        <w:rPr>
          <w:sz w:val="24"/>
          <w:szCs w:val="24"/>
        </w:rPr>
        <w:t xml:space="preserve">the focus is on </w:t>
      </w:r>
      <w:r w:rsidR="000E4452">
        <w:rPr>
          <w:sz w:val="24"/>
          <w:szCs w:val="24"/>
        </w:rPr>
        <w:t xml:space="preserve">CRE </w:t>
      </w:r>
      <w:r>
        <w:rPr>
          <w:sz w:val="24"/>
          <w:szCs w:val="24"/>
        </w:rPr>
        <w:t>prices (i.e., capital gains) rather than total returns</w:t>
      </w:r>
      <w:r w:rsidR="004C60B0">
        <w:rPr>
          <w:sz w:val="24"/>
          <w:szCs w:val="24"/>
        </w:rPr>
        <w:t xml:space="preserve">. </w:t>
      </w:r>
      <w:r w:rsidR="00E12868">
        <w:rPr>
          <w:sz w:val="24"/>
          <w:szCs w:val="24"/>
        </w:rPr>
        <w:t>Under this approach</w:t>
      </w:r>
      <w:r>
        <w:rPr>
          <w:sz w:val="24"/>
          <w:szCs w:val="24"/>
        </w:rPr>
        <w:t xml:space="preserve">, </w:t>
      </w:r>
      <w:r w:rsidR="00E12868">
        <w:rPr>
          <w:sz w:val="24"/>
          <w:szCs w:val="24"/>
        </w:rPr>
        <w:t>the empirical goal is to differentiate the components of CRE price movements that respond</w:t>
      </w:r>
      <w:r>
        <w:rPr>
          <w:sz w:val="24"/>
          <w:szCs w:val="24"/>
        </w:rPr>
        <w:t xml:space="preserve"> to changes in the property market fundamentals </w:t>
      </w:r>
      <w:r w:rsidR="00E12868">
        <w:rPr>
          <w:sz w:val="24"/>
          <w:szCs w:val="24"/>
        </w:rPr>
        <w:t>versus</w:t>
      </w:r>
      <w:r>
        <w:rPr>
          <w:sz w:val="24"/>
          <w:szCs w:val="24"/>
        </w:rPr>
        <w:t xml:space="preserve"> </w:t>
      </w:r>
      <w:r w:rsidR="00E12868">
        <w:rPr>
          <w:sz w:val="24"/>
          <w:szCs w:val="24"/>
        </w:rPr>
        <w:t xml:space="preserve">shifts </w:t>
      </w:r>
      <w:r>
        <w:rPr>
          <w:sz w:val="24"/>
          <w:szCs w:val="24"/>
        </w:rPr>
        <w:t xml:space="preserve">in the CRE </w:t>
      </w:r>
      <w:r w:rsidR="000E4452">
        <w:rPr>
          <w:sz w:val="24"/>
          <w:szCs w:val="24"/>
        </w:rPr>
        <w:t>credit policy</w:t>
      </w:r>
      <w:r w:rsidR="004C60B0">
        <w:rPr>
          <w:sz w:val="24"/>
          <w:szCs w:val="24"/>
        </w:rPr>
        <w:t xml:space="preserve">. </w:t>
      </w:r>
      <w:r w:rsidR="00E12868">
        <w:rPr>
          <w:sz w:val="24"/>
          <w:szCs w:val="24"/>
        </w:rPr>
        <w:t>Consistent with the Ling</w:t>
      </w:r>
      <w:r w:rsidR="000E4452">
        <w:rPr>
          <w:sz w:val="24"/>
          <w:szCs w:val="24"/>
        </w:rPr>
        <w:t>, Naranjo</w:t>
      </w:r>
      <w:r w:rsidR="00E873BA">
        <w:rPr>
          <w:sz w:val="24"/>
          <w:szCs w:val="24"/>
        </w:rPr>
        <w:t xml:space="preserve"> and</w:t>
      </w:r>
      <w:r w:rsidR="000E4452">
        <w:rPr>
          <w:sz w:val="24"/>
          <w:szCs w:val="24"/>
        </w:rPr>
        <w:t xml:space="preserve"> Scheick (2014) </w:t>
      </w:r>
      <w:r>
        <w:rPr>
          <w:sz w:val="24"/>
          <w:szCs w:val="24"/>
        </w:rPr>
        <w:t xml:space="preserve">study, the </w:t>
      </w:r>
      <w:r w:rsidR="00E12868">
        <w:rPr>
          <w:sz w:val="24"/>
          <w:szCs w:val="24"/>
        </w:rPr>
        <w:t xml:space="preserve">FRB Senior </w:t>
      </w:r>
      <w:r>
        <w:rPr>
          <w:sz w:val="24"/>
          <w:szCs w:val="24"/>
        </w:rPr>
        <w:t xml:space="preserve">Loan Officers Survey </w:t>
      </w:r>
      <w:r w:rsidR="00E12868">
        <w:rPr>
          <w:sz w:val="24"/>
          <w:szCs w:val="24"/>
        </w:rPr>
        <w:t xml:space="preserve">is used as the central measure for credit tightening, </w:t>
      </w:r>
      <w:r>
        <w:rPr>
          <w:sz w:val="24"/>
          <w:szCs w:val="24"/>
        </w:rPr>
        <w:t xml:space="preserve">and </w:t>
      </w:r>
      <w:r w:rsidR="00E12868">
        <w:rPr>
          <w:sz w:val="24"/>
          <w:szCs w:val="24"/>
        </w:rPr>
        <w:t xml:space="preserve">liquidity is </w:t>
      </w:r>
      <w:r>
        <w:rPr>
          <w:sz w:val="24"/>
          <w:szCs w:val="24"/>
        </w:rPr>
        <w:t>control</w:t>
      </w:r>
      <w:r w:rsidR="00E12868">
        <w:rPr>
          <w:sz w:val="24"/>
          <w:szCs w:val="24"/>
        </w:rPr>
        <w:t>led</w:t>
      </w:r>
      <w:r>
        <w:rPr>
          <w:sz w:val="24"/>
          <w:szCs w:val="24"/>
        </w:rPr>
        <w:t xml:space="preserve"> </w:t>
      </w:r>
      <w:r w:rsidR="00E12868">
        <w:rPr>
          <w:sz w:val="24"/>
          <w:szCs w:val="24"/>
        </w:rPr>
        <w:t>using the turnover in the NCREIF index as a proxy for volume</w:t>
      </w:r>
      <w:r w:rsidR="00437F70">
        <w:rPr>
          <w:sz w:val="24"/>
          <w:szCs w:val="24"/>
        </w:rPr>
        <w:t>,</w:t>
      </w:r>
      <w:r w:rsidR="00E12868">
        <w:rPr>
          <w:sz w:val="24"/>
          <w:szCs w:val="24"/>
        </w:rPr>
        <w:t xml:space="preserve"> following </w:t>
      </w:r>
      <w:r>
        <w:rPr>
          <w:sz w:val="24"/>
          <w:szCs w:val="24"/>
        </w:rPr>
        <w:t>Fisher, Gatzlaff, Geltner</w:t>
      </w:r>
      <w:r w:rsidR="00E873BA">
        <w:rPr>
          <w:sz w:val="24"/>
          <w:szCs w:val="24"/>
        </w:rPr>
        <w:t xml:space="preserve"> and</w:t>
      </w:r>
      <w:r>
        <w:rPr>
          <w:sz w:val="24"/>
          <w:szCs w:val="24"/>
        </w:rPr>
        <w:t xml:space="preserve"> Haurin (2003). Unlike the Ling</w:t>
      </w:r>
      <w:r w:rsidR="000E4452">
        <w:rPr>
          <w:sz w:val="24"/>
          <w:szCs w:val="24"/>
        </w:rPr>
        <w:t>,</w:t>
      </w:r>
      <w:r>
        <w:rPr>
          <w:sz w:val="24"/>
          <w:szCs w:val="24"/>
        </w:rPr>
        <w:t xml:space="preserve"> </w:t>
      </w:r>
      <w:r w:rsidR="000E4452">
        <w:rPr>
          <w:sz w:val="24"/>
          <w:szCs w:val="24"/>
        </w:rPr>
        <w:t>Naranjo</w:t>
      </w:r>
      <w:r w:rsidR="00E873BA">
        <w:rPr>
          <w:sz w:val="24"/>
          <w:szCs w:val="24"/>
        </w:rPr>
        <w:t xml:space="preserve"> and</w:t>
      </w:r>
      <w:r w:rsidR="000E4452">
        <w:rPr>
          <w:sz w:val="24"/>
          <w:szCs w:val="24"/>
        </w:rPr>
        <w:t xml:space="preserve"> Scheick (2014) </w:t>
      </w:r>
      <w:r>
        <w:rPr>
          <w:sz w:val="24"/>
          <w:szCs w:val="24"/>
        </w:rPr>
        <w:t xml:space="preserve">study, </w:t>
      </w:r>
      <w:r w:rsidR="00E12868">
        <w:rPr>
          <w:sz w:val="24"/>
          <w:szCs w:val="24"/>
        </w:rPr>
        <w:t xml:space="preserve">the </w:t>
      </w:r>
      <w:r>
        <w:rPr>
          <w:sz w:val="24"/>
          <w:szCs w:val="24"/>
        </w:rPr>
        <w:t xml:space="preserve">NCREIF measure </w:t>
      </w:r>
      <w:r w:rsidR="00E12868">
        <w:rPr>
          <w:sz w:val="24"/>
          <w:szCs w:val="24"/>
        </w:rPr>
        <w:t>for c</w:t>
      </w:r>
      <w:r>
        <w:rPr>
          <w:sz w:val="24"/>
          <w:szCs w:val="24"/>
        </w:rPr>
        <w:t xml:space="preserve">apital </w:t>
      </w:r>
      <w:r w:rsidR="00E12868">
        <w:rPr>
          <w:sz w:val="24"/>
          <w:szCs w:val="24"/>
        </w:rPr>
        <w:t>g</w:t>
      </w:r>
      <w:r>
        <w:rPr>
          <w:sz w:val="24"/>
          <w:szCs w:val="24"/>
        </w:rPr>
        <w:t xml:space="preserve">ains </w:t>
      </w:r>
      <w:r w:rsidR="00E12868">
        <w:rPr>
          <w:sz w:val="24"/>
          <w:szCs w:val="24"/>
        </w:rPr>
        <w:t xml:space="preserve">is used </w:t>
      </w:r>
      <w:r>
        <w:rPr>
          <w:sz w:val="24"/>
          <w:szCs w:val="24"/>
        </w:rPr>
        <w:t xml:space="preserve">instead of the </w:t>
      </w:r>
      <w:r w:rsidR="0016717F">
        <w:rPr>
          <w:sz w:val="24"/>
          <w:szCs w:val="24"/>
        </w:rPr>
        <w:t>Transactions-Based Index (</w:t>
      </w:r>
      <w:r>
        <w:rPr>
          <w:sz w:val="24"/>
          <w:szCs w:val="24"/>
        </w:rPr>
        <w:t>TBI</w:t>
      </w:r>
      <w:r w:rsidR="0016717F">
        <w:rPr>
          <w:sz w:val="24"/>
          <w:szCs w:val="24"/>
        </w:rPr>
        <w:t>)</w:t>
      </w:r>
      <w:r>
        <w:rPr>
          <w:sz w:val="24"/>
          <w:szCs w:val="24"/>
        </w:rPr>
        <w:t xml:space="preserve"> measure for two reasons</w:t>
      </w:r>
      <w:r w:rsidR="004C60B0">
        <w:rPr>
          <w:sz w:val="24"/>
          <w:szCs w:val="24"/>
        </w:rPr>
        <w:t xml:space="preserve">. </w:t>
      </w:r>
      <w:r>
        <w:rPr>
          <w:sz w:val="24"/>
          <w:szCs w:val="24"/>
        </w:rPr>
        <w:t>First, the TBI m</w:t>
      </w:r>
      <w:r w:rsidR="00E12868">
        <w:rPr>
          <w:sz w:val="24"/>
          <w:szCs w:val="24"/>
        </w:rPr>
        <w:t>easure is a</w:t>
      </w:r>
      <w:r>
        <w:rPr>
          <w:sz w:val="24"/>
          <w:szCs w:val="24"/>
        </w:rPr>
        <w:t xml:space="preserve"> noisy measure, making it exceeding</w:t>
      </w:r>
      <w:r w:rsidR="00A466C4">
        <w:rPr>
          <w:sz w:val="24"/>
          <w:szCs w:val="24"/>
        </w:rPr>
        <w:t>ly</w:t>
      </w:r>
      <w:r>
        <w:rPr>
          <w:sz w:val="24"/>
          <w:szCs w:val="24"/>
        </w:rPr>
        <w:t xml:space="preserve"> difficult to identify a common trend</w:t>
      </w:r>
      <w:r w:rsidR="004C60B0">
        <w:rPr>
          <w:sz w:val="24"/>
          <w:szCs w:val="24"/>
        </w:rPr>
        <w:t xml:space="preserve">. </w:t>
      </w:r>
      <w:r>
        <w:rPr>
          <w:sz w:val="24"/>
          <w:szCs w:val="24"/>
        </w:rPr>
        <w:t xml:space="preserve">Second, </w:t>
      </w:r>
      <w:r w:rsidR="00962FF0">
        <w:rPr>
          <w:sz w:val="24"/>
          <w:szCs w:val="24"/>
        </w:rPr>
        <w:t xml:space="preserve">the present </w:t>
      </w:r>
      <w:r>
        <w:rPr>
          <w:sz w:val="24"/>
          <w:szCs w:val="24"/>
        </w:rPr>
        <w:t xml:space="preserve">study is focused on a </w:t>
      </w:r>
      <w:r w:rsidR="00E12868">
        <w:rPr>
          <w:sz w:val="24"/>
          <w:szCs w:val="24"/>
        </w:rPr>
        <w:t xml:space="preserve">deconstructed </w:t>
      </w:r>
      <w:r>
        <w:rPr>
          <w:sz w:val="24"/>
          <w:szCs w:val="24"/>
        </w:rPr>
        <w:t xml:space="preserve">cap rate, </w:t>
      </w:r>
      <w:r w:rsidR="00056E75">
        <w:rPr>
          <w:sz w:val="24"/>
          <w:szCs w:val="24"/>
        </w:rPr>
        <w:t xml:space="preserve">evaluative of the </w:t>
      </w:r>
      <w:r w:rsidR="00E12868">
        <w:rPr>
          <w:sz w:val="24"/>
          <w:szCs w:val="24"/>
        </w:rPr>
        <w:t xml:space="preserve">discussion </w:t>
      </w:r>
      <w:r w:rsidR="00056E75">
        <w:rPr>
          <w:sz w:val="24"/>
          <w:szCs w:val="24"/>
        </w:rPr>
        <w:t xml:space="preserve">in </w:t>
      </w:r>
      <w:r>
        <w:rPr>
          <w:sz w:val="24"/>
          <w:szCs w:val="24"/>
        </w:rPr>
        <w:t>Ghysels, Plazzi, Torous</w:t>
      </w:r>
      <w:r w:rsidR="00E873BA">
        <w:rPr>
          <w:sz w:val="24"/>
          <w:szCs w:val="24"/>
        </w:rPr>
        <w:t xml:space="preserve"> and</w:t>
      </w:r>
      <w:r>
        <w:rPr>
          <w:sz w:val="24"/>
          <w:szCs w:val="24"/>
        </w:rPr>
        <w:t xml:space="preserve"> Valkanov (2012) that </w:t>
      </w:r>
      <w:r w:rsidR="00E12868">
        <w:rPr>
          <w:sz w:val="24"/>
          <w:szCs w:val="24"/>
        </w:rPr>
        <w:t xml:space="preserve">NOI and </w:t>
      </w:r>
      <w:r w:rsidR="0038429A">
        <w:rPr>
          <w:sz w:val="24"/>
          <w:szCs w:val="24"/>
        </w:rPr>
        <w:t>p</w:t>
      </w:r>
      <w:r w:rsidR="00E12868">
        <w:rPr>
          <w:sz w:val="24"/>
          <w:szCs w:val="24"/>
        </w:rPr>
        <w:t>rices are cointegrated.</w:t>
      </w:r>
      <w:r>
        <w:rPr>
          <w:sz w:val="24"/>
          <w:szCs w:val="24"/>
        </w:rPr>
        <w:t xml:space="preserve"> </w:t>
      </w:r>
      <w:r w:rsidR="00E12868">
        <w:rPr>
          <w:sz w:val="24"/>
          <w:szCs w:val="24"/>
        </w:rPr>
        <w:t>T</w:t>
      </w:r>
      <w:r>
        <w:rPr>
          <w:sz w:val="24"/>
          <w:szCs w:val="24"/>
        </w:rPr>
        <w:t xml:space="preserve">he NCREIF </w:t>
      </w:r>
      <w:r w:rsidR="00E12868">
        <w:rPr>
          <w:sz w:val="24"/>
          <w:szCs w:val="24"/>
        </w:rPr>
        <w:t xml:space="preserve">capital gains </w:t>
      </w:r>
      <w:r>
        <w:rPr>
          <w:sz w:val="24"/>
          <w:szCs w:val="24"/>
        </w:rPr>
        <w:t xml:space="preserve">measure is indeed </w:t>
      </w:r>
      <w:r w:rsidR="00E12868">
        <w:rPr>
          <w:sz w:val="24"/>
          <w:szCs w:val="24"/>
        </w:rPr>
        <w:t xml:space="preserve">non-stationary (while the TBI measure is stationary) </w:t>
      </w:r>
      <w:r>
        <w:rPr>
          <w:sz w:val="24"/>
          <w:szCs w:val="24"/>
        </w:rPr>
        <w:t xml:space="preserve">enabling tests for cointegration between </w:t>
      </w:r>
      <w:r w:rsidR="00E12868">
        <w:rPr>
          <w:sz w:val="24"/>
          <w:szCs w:val="24"/>
        </w:rPr>
        <w:t>income returns and capital gains</w:t>
      </w:r>
      <w:r>
        <w:rPr>
          <w:sz w:val="24"/>
          <w:szCs w:val="24"/>
        </w:rPr>
        <w:t xml:space="preserve">, along with the potential for </w:t>
      </w:r>
      <w:r w:rsidR="00E12868">
        <w:rPr>
          <w:sz w:val="24"/>
          <w:szCs w:val="24"/>
        </w:rPr>
        <w:t xml:space="preserve">error correction </w:t>
      </w:r>
      <w:r>
        <w:rPr>
          <w:sz w:val="24"/>
          <w:szCs w:val="24"/>
        </w:rPr>
        <w:t>modeling</w:t>
      </w:r>
      <w:r w:rsidR="004C60B0">
        <w:rPr>
          <w:sz w:val="24"/>
          <w:szCs w:val="24"/>
        </w:rPr>
        <w:t xml:space="preserve">. </w:t>
      </w:r>
      <w:r w:rsidR="00176F57">
        <w:rPr>
          <w:sz w:val="24"/>
          <w:szCs w:val="24"/>
        </w:rPr>
        <w:t xml:space="preserve">This study </w:t>
      </w:r>
      <w:r>
        <w:rPr>
          <w:sz w:val="24"/>
          <w:szCs w:val="24"/>
        </w:rPr>
        <w:t>provide</w:t>
      </w:r>
      <w:r w:rsidR="00176F57">
        <w:rPr>
          <w:sz w:val="24"/>
          <w:szCs w:val="24"/>
        </w:rPr>
        <w:t>s</w:t>
      </w:r>
      <w:r>
        <w:rPr>
          <w:sz w:val="24"/>
          <w:szCs w:val="24"/>
        </w:rPr>
        <w:t xml:space="preserve"> a </w:t>
      </w:r>
      <w:r w:rsidR="00176F57">
        <w:rPr>
          <w:sz w:val="24"/>
          <w:szCs w:val="24"/>
        </w:rPr>
        <w:t xml:space="preserve">four variable VAR </w:t>
      </w:r>
      <w:r>
        <w:rPr>
          <w:sz w:val="24"/>
          <w:szCs w:val="24"/>
        </w:rPr>
        <w:t xml:space="preserve">model for comparison </w:t>
      </w:r>
      <w:r w:rsidR="004365E1">
        <w:rPr>
          <w:sz w:val="24"/>
          <w:szCs w:val="24"/>
        </w:rPr>
        <w:t>to</w:t>
      </w:r>
      <w:r>
        <w:rPr>
          <w:sz w:val="24"/>
          <w:szCs w:val="24"/>
        </w:rPr>
        <w:t xml:space="preserve"> the results </w:t>
      </w:r>
      <w:r w:rsidR="004365E1">
        <w:rPr>
          <w:sz w:val="24"/>
          <w:szCs w:val="24"/>
        </w:rPr>
        <w:t xml:space="preserve">of </w:t>
      </w:r>
      <w:r>
        <w:rPr>
          <w:sz w:val="24"/>
          <w:szCs w:val="24"/>
        </w:rPr>
        <w:t>the Ling</w:t>
      </w:r>
      <w:r w:rsidR="0038429A">
        <w:rPr>
          <w:sz w:val="24"/>
          <w:szCs w:val="24"/>
        </w:rPr>
        <w:t>,</w:t>
      </w:r>
      <w:r w:rsidR="0038429A" w:rsidRPr="0038429A">
        <w:rPr>
          <w:sz w:val="24"/>
          <w:szCs w:val="24"/>
        </w:rPr>
        <w:t xml:space="preserve"> </w:t>
      </w:r>
      <w:r w:rsidR="0038429A">
        <w:rPr>
          <w:sz w:val="24"/>
          <w:szCs w:val="24"/>
        </w:rPr>
        <w:t xml:space="preserve">Naranjo and Scheick (2014) </w:t>
      </w:r>
      <w:r>
        <w:rPr>
          <w:sz w:val="24"/>
          <w:szCs w:val="24"/>
        </w:rPr>
        <w:t>study</w:t>
      </w:r>
      <w:r w:rsidR="004C60B0">
        <w:rPr>
          <w:sz w:val="24"/>
          <w:szCs w:val="24"/>
        </w:rPr>
        <w:t xml:space="preserve">. </w:t>
      </w:r>
      <w:r w:rsidR="007A61BB">
        <w:rPr>
          <w:sz w:val="24"/>
          <w:szCs w:val="24"/>
        </w:rPr>
        <w:t>A</w:t>
      </w:r>
      <w:r>
        <w:rPr>
          <w:sz w:val="24"/>
          <w:szCs w:val="24"/>
        </w:rPr>
        <w:t xml:space="preserve"> number of additional underwriting standards </w:t>
      </w:r>
      <w:r w:rsidR="00176F57">
        <w:rPr>
          <w:sz w:val="24"/>
          <w:szCs w:val="24"/>
        </w:rPr>
        <w:t xml:space="preserve">that </w:t>
      </w:r>
      <w:r>
        <w:rPr>
          <w:sz w:val="24"/>
          <w:szCs w:val="24"/>
        </w:rPr>
        <w:t xml:space="preserve">have been proposed </w:t>
      </w:r>
      <w:r w:rsidR="00AF61E2">
        <w:rPr>
          <w:sz w:val="24"/>
          <w:szCs w:val="24"/>
        </w:rPr>
        <w:t xml:space="preserve">in the literature </w:t>
      </w:r>
      <w:r w:rsidR="00176F57">
        <w:rPr>
          <w:sz w:val="24"/>
          <w:szCs w:val="24"/>
        </w:rPr>
        <w:t>are evaluated</w:t>
      </w:r>
      <w:r w:rsidR="00AF61E2">
        <w:rPr>
          <w:sz w:val="24"/>
          <w:szCs w:val="24"/>
        </w:rPr>
        <w:t>.</w:t>
      </w:r>
      <w:r w:rsidR="00176F57">
        <w:rPr>
          <w:sz w:val="24"/>
          <w:szCs w:val="24"/>
        </w:rPr>
        <w:t xml:space="preserve"> </w:t>
      </w:r>
      <w:r w:rsidR="00AF61E2">
        <w:rPr>
          <w:sz w:val="24"/>
          <w:szCs w:val="24"/>
        </w:rPr>
        <w:t>A</w:t>
      </w:r>
      <w:r w:rsidR="00176F57">
        <w:rPr>
          <w:sz w:val="24"/>
          <w:szCs w:val="24"/>
        </w:rPr>
        <w:t xml:space="preserve">n indirect underwriting measure is constructed from the </w:t>
      </w:r>
      <w:r>
        <w:rPr>
          <w:sz w:val="24"/>
          <w:szCs w:val="24"/>
        </w:rPr>
        <w:t>principal component</w:t>
      </w:r>
      <w:r w:rsidR="00176F57">
        <w:rPr>
          <w:sz w:val="24"/>
          <w:szCs w:val="24"/>
        </w:rPr>
        <w:t>s of the most informative measures</w:t>
      </w:r>
      <w:r w:rsidR="004C60B0">
        <w:rPr>
          <w:sz w:val="24"/>
          <w:szCs w:val="24"/>
        </w:rPr>
        <w:t xml:space="preserve">. </w:t>
      </w:r>
      <w:r w:rsidR="00176F57">
        <w:rPr>
          <w:sz w:val="24"/>
          <w:szCs w:val="24"/>
        </w:rPr>
        <w:t>A</w:t>
      </w:r>
      <w:r w:rsidR="00F55425">
        <w:rPr>
          <w:sz w:val="24"/>
          <w:szCs w:val="24"/>
        </w:rPr>
        <w:t xml:space="preserve">lternative specifications </w:t>
      </w:r>
      <w:r w:rsidR="00AF61E2">
        <w:rPr>
          <w:sz w:val="24"/>
          <w:szCs w:val="24"/>
        </w:rPr>
        <w:t>are provided</w:t>
      </w:r>
      <w:r w:rsidR="00176F57">
        <w:rPr>
          <w:sz w:val="24"/>
          <w:szCs w:val="24"/>
        </w:rPr>
        <w:t xml:space="preserve"> </w:t>
      </w:r>
      <w:r w:rsidR="00F55425">
        <w:rPr>
          <w:sz w:val="24"/>
          <w:szCs w:val="24"/>
        </w:rPr>
        <w:t>where</w:t>
      </w:r>
      <w:r w:rsidR="00176F57">
        <w:rPr>
          <w:sz w:val="24"/>
          <w:szCs w:val="24"/>
        </w:rPr>
        <w:t>in</w:t>
      </w:r>
      <w:r w:rsidR="00F55425">
        <w:rPr>
          <w:sz w:val="24"/>
          <w:szCs w:val="24"/>
        </w:rPr>
        <w:t xml:space="preserve"> only endogenous measures are considered</w:t>
      </w:r>
      <w:r w:rsidR="00176F57">
        <w:rPr>
          <w:sz w:val="24"/>
          <w:szCs w:val="24"/>
        </w:rPr>
        <w:t xml:space="preserve"> revealing that </w:t>
      </w:r>
      <w:r w:rsidR="00F55425">
        <w:rPr>
          <w:sz w:val="24"/>
          <w:szCs w:val="24"/>
        </w:rPr>
        <w:t>the set of exogenous measures offers little model improvement</w:t>
      </w:r>
      <w:r w:rsidR="00176F57">
        <w:rPr>
          <w:sz w:val="24"/>
          <w:szCs w:val="24"/>
        </w:rPr>
        <w:t xml:space="preserve">. The all-endogenous models are then used to </w:t>
      </w:r>
      <w:r w:rsidR="00F55425">
        <w:rPr>
          <w:sz w:val="24"/>
          <w:szCs w:val="24"/>
        </w:rPr>
        <w:t xml:space="preserve">generate variance decompositions </w:t>
      </w:r>
      <w:r w:rsidR="00176F57">
        <w:rPr>
          <w:sz w:val="24"/>
          <w:szCs w:val="24"/>
        </w:rPr>
        <w:t>which illustrate</w:t>
      </w:r>
      <w:r w:rsidR="00F55425">
        <w:rPr>
          <w:sz w:val="24"/>
          <w:szCs w:val="24"/>
        </w:rPr>
        <w:t xml:space="preserve"> the </w:t>
      </w:r>
      <w:r w:rsidR="00176F57">
        <w:rPr>
          <w:sz w:val="24"/>
          <w:szCs w:val="24"/>
        </w:rPr>
        <w:t xml:space="preserve">portion of the </w:t>
      </w:r>
      <w:r w:rsidR="00F55425">
        <w:rPr>
          <w:sz w:val="24"/>
          <w:szCs w:val="24"/>
        </w:rPr>
        <w:t xml:space="preserve">prediction error that is explained by credit </w:t>
      </w:r>
      <w:r w:rsidR="0038429A">
        <w:rPr>
          <w:sz w:val="24"/>
          <w:szCs w:val="24"/>
        </w:rPr>
        <w:t>policy versus property markets</w:t>
      </w:r>
      <w:r w:rsidR="00F55425">
        <w:rPr>
          <w:sz w:val="24"/>
          <w:szCs w:val="24"/>
        </w:rPr>
        <w:t>.</w:t>
      </w:r>
    </w:p>
    <w:p w:rsidR="00400360" w:rsidRDefault="00400360" w:rsidP="00176F57">
      <w:pPr>
        <w:spacing w:line="480" w:lineRule="auto"/>
        <w:ind w:firstLine="720"/>
        <w:jc w:val="both"/>
        <w:rPr>
          <w:rFonts w:eastAsiaTheme="minorHAnsi"/>
          <w:sz w:val="24"/>
          <w:szCs w:val="24"/>
        </w:rPr>
      </w:pPr>
      <w:r>
        <w:rPr>
          <w:sz w:val="24"/>
          <w:szCs w:val="24"/>
        </w:rPr>
        <w:t>An empirical issue with the NCREIF capital gains measure is that it is appraisal-based</w:t>
      </w:r>
      <w:r w:rsidR="004C60B0">
        <w:rPr>
          <w:sz w:val="24"/>
          <w:szCs w:val="24"/>
        </w:rPr>
        <w:t xml:space="preserve">. </w:t>
      </w:r>
      <w:r>
        <w:rPr>
          <w:sz w:val="24"/>
          <w:szCs w:val="24"/>
        </w:rPr>
        <w:t>Appraisal-based indices reflect changes in und</w:t>
      </w:r>
      <w:r w:rsidR="00E873BA">
        <w:rPr>
          <w:sz w:val="24"/>
          <w:szCs w:val="24"/>
        </w:rPr>
        <w:t>erlying asset values with a lag</w:t>
      </w:r>
      <w:r>
        <w:rPr>
          <w:sz w:val="24"/>
          <w:szCs w:val="24"/>
        </w:rPr>
        <w:t xml:space="preserve"> and are generally smoother than transaction-based indices</w:t>
      </w:r>
      <w:r w:rsidR="004C60B0">
        <w:rPr>
          <w:sz w:val="24"/>
          <w:szCs w:val="24"/>
        </w:rPr>
        <w:t xml:space="preserve">. </w:t>
      </w:r>
      <w:r>
        <w:rPr>
          <w:sz w:val="24"/>
          <w:szCs w:val="24"/>
        </w:rPr>
        <w:t xml:space="preserve">An alternative is to use the TBI, developed in </w:t>
      </w:r>
      <w:r>
        <w:rPr>
          <w:rFonts w:eastAsiaTheme="minorHAnsi"/>
          <w:sz w:val="24"/>
          <w:szCs w:val="24"/>
        </w:rPr>
        <w:t>Geltner and Pollakowski (2007)</w:t>
      </w:r>
      <w:r w:rsidR="004C60B0">
        <w:rPr>
          <w:rFonts w:eastAsiaTheme="minorHAnsi"/>
          <w:sz w:val="24"/>
          <w:szCs w:val="24"/>
        </w:rPr>
        <w:t xml:space="preserve">. </w:t>
      </w:r>
      <w:r>
        <w:rPr>
          <w:rFonts w:eastAsiaTheme="minorHAnsi"/>
          <w:sz w:val="24"/>
          <w:szCs w:val="24"/>
        </w:rPr>
        <w:t>The TBI combines a hedonic model for actual transaction prices with lagged appraisal values to estimate values for unsold properties</w:t>
      </w:r>
      <w:r w:rsidR="004C60B0">
        <w:rPr>
          <w:rFonts w:eastAsiaTheme="minorHAnsi"/>
          <w:sz w:val="24"/>
          <w:szCs w:val="24"/>
        </w:rPr>
        <w:t xml:space="preserve">. </w:t>
      </w:r>
      <w:r>
        <w:rPr>
          <w:rFonts w:eastAsiaTheme="minorHAnsi"/>
          <w:sz w:val="24"/>
          <w:szCs w:val="24"/>
        </w:rPr>
        <w:t>The TBI is used to forecast CRE prices by Plazzi, Torous</w:t>
      </w:r>
      <w:r w:rsidR="00E873BA">
        <w:rPr>
          <w:rFonts w:eastAsiaTheme="minorHAnsi"/>
          <w:sz w:val="24"/>
          <w:szCs w:val="24"/>
        </w:rPr>
        <w:t xml:space="preserve"> and</w:t>
      </w:r>
      <w:r>
        <w:rPr>
          <w:rFonts w:eastAsiaTheme="minorHAnsi"/>
          <w:sz w:val="24"/>
          <w:szCs w:val="24"/>
        </w:rPr>
        <w:t xml:space="preserve"> Valkanov (2011) and MacKinnon and Al-Zaman (2009)</w:t>
      </w:r>
      <w:r w:rsidR="004C60B0">
        <w:rPr>
          <w:rFonts w:eastAsiaTheme="minorHAnsi"/>
          <w:sz w:val="24"/>
          <w:szCs w:val="24"/>
        </w:rPr>
        <w:t xml:space="preserve">. </w:t>
      </w:r>
      <w:r>
        <w:rPr>
          <w:rFonts w:eastAsiaTheme="minorHAnsi"/>
          <w:sz w:val="24"/>
          <w:szCs w:val="24"/>
        </w:rPr>
        <w:t xml:space="preserve">The appeal of the TBI is </w:t>
      </w:r>
      <w:r w:rsidR="002115BB">
        <w:rPr>
          <w:rFonts w:eastAsiaTheme="minorHAnsi"/>
          <w:sz w:val="24"/>
          <w:szCs w:val="24"/>
        </w:rPr>
        <w:t xml:space="preserve">that </w:t>
      </w:r>
      <w:r>
        <w:rPr>
          <w:rFonts w:eastAsiaTheme="minorHAnsi"/>
          <w:sz w:val="24"/>
          <w:szCs w:val="24"/>
        </w:rPr>
        <w:t>the series is generally stationary (i.e., not serially correlated over short horizons), leaving the forecasting models relatively uncomplicated</w:t>
      </w:r>
      <w:r w:rsidR="004C60B0">
        <w:rPr>
          <w:rFonts w:eastAsiaTheme="minorHAnsi"/>
          <w:sz w:val="24"/>
          <w:szCs w:val="24"/>
        </w:rPr>
        <w:t xml:space="preserve">. </w:t>
      </w:r>
      <w:r>
        <w:rPr>
          <w:rFonts w:eastAsiaTheme="minorHAnsi"/>
          <w:sz w:val="24"/>
          <w:szCs w:val="24"/>
        </w:rPr>
        <w:t xml:space="preserve">One downside of the TBI is that it is </w:t>
      </w:r>
      <w:r w:rsidR="00176F57">
        <w:rPr>
          <w:rFonts w:eastAsiaTheme="minorHAnsi"/>
          <w:sz w:val="24"/>
          <w:szCs w:val="24"/>
        </w:rPr>
        <w:t xml:space="preserve">truly </w:t>
      </w:r>
      <w:r>
        <w:rPr>
          <w:rFonts w:eastAsiaTheme="minorHAnsi"/>
          <w:sz w:val="24"/>
          <w:szCs w:val="24"/>
        </w:rPr>
        <w:t>asking a lot of the data: CRE transactions are highly heterogeneous and there are few transactions per quarter (within each market</w:t>
      </w:r>
      <w:r w:rsidR="0016717F">
        <w:rPr>
          <w:rFonts w:eastAsiaTheme="minorHAnsi"/>
          <w:sz w:val="24"/>
          <w:szCs w:val="24"/>
        </w:rPr>
        <w:t>,</w:t>
      </w:r>
      <w:r>
        <w:rPr>
          <w:rFonts w:eastAsiaTheme="minorHAnsi"/>
          <w:sz w:val="24"/>
          <w:szCs w:val="24"/>
        </w:rPr>
        <w:t xml:space="preserve"> for each property type)</w:t>
      </w:r>
      <w:r w:rsidR="004C60B0">
        <w:rPr>
          <w:rFonts w:eastAsiaTheme="minorHAnsi"/>
          <w:sz w:val="24"/>
          <w:szCs w:val="24"/>
        </w:rPr>
        <w:t xml:space="preserve">. </w:t>
      </w:r>
      <w:r>
        <w:rPr>
          <w:rFonts w:eastAsiaTheme="minorHAnsi"/>
          <w:sz w:val="24"/>
          <w:szCs w:val="24"/>
        </w:rPr>
        <w:t xml:space="preserve">Thus, the hedonic estimation and predicted values </w:t>
      </w:r>
      <w:r w:rsidR="00176F57">
        <w:rPr>
          <w:rFonts w:eastAsiaTheme="minorHAnsi"/>
          <w:sz w:val="24"/>
          <w:szCs w:val="24"/>
        </w:rPr>
        <w:t xml:space="preserve">are </w:t>
      </w:r>
      <w:r w:rsidR="00D72A07">
        <w:rPr>
          <w:rFonts w:eastAsiaTheme="minorHAnsi"/>
          <w:sz w:val="24"/>
          <w:szCs w:val="24"/>
        </w:rPr>
        <w:t xml:space="preserve">inherently </w:t>
      </w:r>
      <w:r>
        <w:rPr>
          <w:rFonts w:eastAsiaTheme="minorHAnsi"/>
          <w:sz w:val="24"/>
          <w:szCs w:val="24"/>
        </w:rPr>
        <w:t>noisy</w:t>
      </w:r>
      <w:r w:rsidR="004C60B0">
        <w:rPr>
          <w:rFonts w:eastAsiaTheme="minorHAnsi"/>
          <w:sz w:val="24"/>
          <w:szCs w:val="24"/>
        </w:rPr>
        <w:t xml:space="preserve">. </w:t>
      </w:r>
      <w:r>
        <w:rPr>
          <w:rFonts w:eastAsiaTheme="minorHAnsi"/>
          <w:sz w:val="24"/>
          <w:szCs w:val="24"/>
        </w:rPr>
        <w:t xml:space="preserve">As a result, the TBI capital gains returns series </w:t>
      </w:r>
      <w:r w:rsidR="00176F57">
        <w:rPr>
          <w:rFonts w:eastAsiaTheme="minorHAnsi"/>
          <w:sz w:val="24"/>
          <w:szCs w:val="24"/>
        </w:rPr>
        <w:t xml:space="preserve">provides </w:t>
      </w:r>
      <w:r>
        <w:rPr>
          <w:rFonts w:eastAsiaTheme="minorHAnsi"/>
          <w:sz w:val="24"/>
          <w:szCs w:val="24"/>
        </w:rPr>
        <w:t>a noisy representation of the NCREIF capital gains series</w:t>
      </w:r>
      <w:r w:rsidR="004C60B0">
        <w:rPr>
          <w:rFonts w:eastAsiaTheme="minorHAnsi"/>
          <w:sz w:val="24"/>
          <w:szCs w:val="24"/>
        </w:rPr>
        <w:t xml:space="preserve">. </w:t>
      </w:r>
      <w:r>
        <w:rPr>
          <w:rFonts w:eastAsiaTheme="minorHAnsi"/>
          <w:sz w:val="24"/>
          <w:szCs w:val="24"/>
        </w:rPr>
        <w:t xml:space="preserve">The two series are highly correlated and </w:t>
      </w:r>
      <w:r w:rsidR="00176F57">
        <w:rPr>
          <w:rFonts w:eastAsiaTheme="minorHAnsi"/>
          <w:sz w:val="24"/>
          <w:szCs w:val="24"/>
        </w:rPr>
        <w:t xml:space="preserve">appear to </w:t>
      </w:r>
      <w:r>
        <w:rPr>
          <w:rFonts w:eastAsiaTheme="minorHAnsi"/>
          <w:sz w:val="24"/>
          <w:szCs w:val="24"/>
        </w:rPr>
        <w:t>move together</w:t>
      </w:r>
      <w:r w:rsidR="00176F57">
        <w:rPr>
          <w:rFonts w:eastAsiaTheme="minorHAnsi"/>
          <w:sz w:val="24"/>
          <w:szCs w:val="24"/>
        </w:rPr>
        <w:t xml:space="preserve"> in all sub-periods</w:t>
      </w:r>
      <w:r w:rsidR="004C60B0">
        <w:rPr>
          <w:rFonts w:eastAsiaTheme="minorHAnsi"/>
          <w:sz w:val="24"/>
          <w:szCs w:val="24"/>
        </w:rPr>
        <w:t xml:space="preserve">. </w:t>
      </w:r>
      <w:r>
        <w:rPr>
          <w:rFonts w:eastAsiaTheme="minorHAnsi"/>
          <w:sz w:val="24"/>
          <w:szCs w:val="24"/>
        </w:rPr>
        <w:t>The TBI series does not appear to significantly lead the NCREIF return series</w:t>
      </w:r>
      <w:r w:rsidR="00176F57">
        <w:rPr>
          <w:rFonts w:eastAsiaTheme="minorHAnsi"/>
          <w:sz w:val="24"/>
          <w:szCs w:val="24"/>
        </w:rPr>
        <w:t xml:space="preserve"> at the quarterly frequency</w:t>
      </w:r>
      <w:r w:rsidR="004C60B0">
        <w:rPr>
          <w:rFonts w:eastAsiaTheme="minorHAnsi"/>
          <w:sz w:val="24"/>
          <w:szCs w:val="24"/>
        </w:rPr>
        <w:t xml:space="preserve">. </w:t>
      </w:r>
      <w:r w:rsidR="00176F57">
        <w:rPr>
          <w:rFonts w:eastAsiaTheme="minorHAnsi"/>
          <w:sz w:val="24"/>
          <w:szCs w:val="24"/>
        </w:rPr>
        <w:t xml:space="preserve">Perhaps with </w:t>
      </w:r>
      <w:r>
        <w:rPr>
          <w:rFonts w:eastAsiaTheme="minorHAnsi"/>
          <w:sz w:val="24"/>
          <w:szCs w:val="24"/>
        </w:rPr>
        <w:t xml:space="preserve">monthly data, appraisal-smoothing may </w:t>
      </w:r>
      <w:r w:rsidR="00176F57">
        <w:rPr>
          <w:rFonts w:eastAsiaTheme="minorHAnsi"/>
          <w:sz w:val="24"/>
          <w:szCs w:val="24"/>
        </w:rPr>
        <w:t xml:space="preserve">cause greater </w:t>
      </w:r>
      <w:r>
        <w:rPr>
          <w:rFonts w:eastAsiaTheme="minorHAnsi"/>
          <w:sz w:val="24"/>
          <w:szCs w:val="24"/>
        </w:rPr>
        <w:t xml:space="preserve">concern, </w:t>
      </w:r>
      <w:r w:rsidR="00176F57">
        <w:rPr>
          <w:rFonts w:eastAsiaTheme="minorHAnsi"/>
          <w:sz w:val="24"/>
          <w:szCs w:val="24"/>
        </w:rPr>
        <w:t xml:space="preserve">yet during the lapse of a calendar quarter it is </w:t>
      </w:r>
      <w:r w:rsidR="00944CF4">
        <w:rPr>
          <w:rFonts w:eastAsiaTheme="minorHAnsi"/>
          <w:sz w:val="24"/>
          <w:szCs w:val="24"/>
        </w:rPr>
        <w:t xml:space="preserve">possible </w:t>
      </w:r>
      <w:r w:rsidR="00176F57">
        <w:rPr>
          <w:rFonts w:eastAsiaTheme="minorHAnsi"/>
          <w:sz w:val="24"/>
          <w:szCs w:val="24"/>
        </w:rPr>
        <w:t xml:space="preserve">that enough information is revealed for an </w:t>
      </w:r>
      <w:r>
        <w:rPr>
          <w:rFonts w:eastAsiaTheme="minorHAnsi"/>
          <w:sz w:val="24"/>
          <w:szCs w:val="24"/>
        </w:rPr>
        <w:t xml:space="preserve">appraisal-based index </w:t>
      </w:r>
      <w:r w:rsidR="00176F57">
        <w:rPr>
          <w:rFonts w:eastAsiaTheme="minorHAnsi"/>
          <w:sz w:val="24"/>
          <w:szCs w:val="24"/>
        </w:rPr>
        <w:t>to reflect aggregate changes</w:t>
      </w:r>
      <w:r w:rsidR="004C60B0">
        <w:rPr>
          <w:rFonts w:eastAsiaTheme="minorHAnsi"/>
          <w:sz w:val="24"/>
          <w:szCs w:val="24"/>
        </w:rPr>
        <w:t xml:space="preserve">. </w:t>
      </w:r>
    </w:p>
    <w:p w:rsidR="00400360" w:rsidRDefault="000D3C5D" w:rsidP="00176F57">
      <w:pPr>
        <w:spacing w:line="480" w:lineRule="auto"/>
        <w:ind w:firstLine="720"/>
        <w:jc w:val="both"/>
        <w:rPr>
          <w:rFonts w:eastAsiaTheme="minorHAnsi"/>
          <w:sz w:val="24"/>
          <w:szCs w:val="24"/>
        </w:rPr>
      </w:pPr>
      <w:r>
        <w:rPr>
          <w:rFonts w:eastAsiaTheme="minorHAnsi"/>
          <w:sz w:val="24"/>
          <w:szCs w:val="24"/>
        </w:rPr>
        <w:t>T</w:t>
      </w:r>
      <w:r w:rsidR="00400360">
        <w:rPr>
          <w:rFonts w:eastAsiaTheme="minorHAnsi"/>
          <w:sz w:val="24"/>
          <w:szCs w:val="24"/>
        </w:rPr>
        <w:t xml:space="preserve">his study </w:t>
      </w:r>
      <w:r w:rsidR="001460F7">
        <w:rPr>
          <w:rFonts w:eastAsiaTheme="minorHAnsi"/>
          <w:sz w:val="24"/>
          <w:szCs w:val="24"/>
        </w:rPr>
        <w:t>focuses</w:t>
      </w:r>
      <w:r w:rsidR="00400360">
        <w:rPr>
          <w:rFonts w:eastAsiaTheme="minorHAnsi"/>
          <w:sz w:val="24"/>
          <w:szCs w:val="24"/>
        </w:rPr>
        <w:t xml:space="preserve"> on the relationship between income returns</w:t>
      </w:r>
      <w:r>
        <w:rPr>
          <w:rFonts w:eastAsiaTheme="minorHAnsi"/>
          <w:sz w:val="24"/>
          <w:szCs w:val="24"/>
        </w:rPr>
        <w:t>,</w:t>
      </w:r>
      <w:r w:rsidR="00400360">
        <w:rPr>
          <w:rFonts w:eastAsiaTheme="minorHAnsi"/>
          <w:sz w:val="24"/>
          <w:szCs w:val="24"/>
        </w:rPr>
        <w:t xml:space="preserve"> capital gains</w:t>
      </w:r>
      <w:r>
        <w:rPr>
          <w:rFonts w:eastAsiaTheme="minorHAnsi"/>
          <w:sz w:val="24"/>
          <w:szCs w:val="24"/>
        </w:rPr>
        <w:t>,</w:t>
      </w:r>
      <w:r w:rsidR="00400360">
        <w:rPr>
          <w:rFonts w:eastAsiaTheme="minorHAnsi"/>
          <w:sz w:val="24"/>
          <w:szCs w:val="24"/>
        </w:rPr>
        <w:t xml:space="preserve"> </w:t>
      </w:r>
      <w:r>
        <w:rPr>
          <w:rFonts w:eastAsiaTheme="minorHAnsi"/>
          <w:sz w:val="24"/>
          <w:szCs w:val="24"/>
        </w:rPr>
        <w:t xml:space="preserve">and </w:t>
      </w:r>
      <w:r w:rsidR="00400360">
        <w:rPr>
          <w:rFonts w:eastAsiaTheme="minorHAnsi"/>
          <w:sz w:val="24"/>
          <w:szCs w:val="24"/>
        </w:rPr>
        <w:t xml:space="preserve">CRE </w:t>
      </w:r>
      <w:r>
        <w:rPr>
          <w:rFonts w:eastAsiaTheme="minorHAnsi"/>
          <w:sz w:val="24"/>
          <w:szCs w:val="24"/>
        </w:rPr>
        <w:t xml:space="preserve">credit </w:t>
      </w:r>
      <w:r w:rsidR="00400360">
        <w:rPr>
          <w:rFonts w:eastAsiaTheme="minorHAnsi"/>
          <w:sz w:val="24"/>
          <w:szCs w:val="24"/>
        </w:rPr>
        <w:t xml:space="preserve">tightening </w:t>
      </w:r>
      <w:r>
        <w:rPr>
          <w:rFonts w:eastAsiaTheme="minorHAnsi"/>
          <w:sz w:val="24"/>
          <w:szCs w:val="24"/>
        </w:rPr>
        <w:t>at the aggregate level</w:t>
      </w:r>
      <w:r w:rsidR="00400360">
        <w:rPr>
          <w:rFonts w:eastAsiaTheme="minorHAnsi"/>
          <w:sz w:val="24"/>
          <w:szCs w:val="24"/>
        </w:rPr>
        <w:t xml:space="preserve"> </w:t>
      </w:r>
      <w:r>
        <w:rPr>
          <w:rFonts w:eastAsiaTheme="minorHAnsi"/>
          <w:sz w:val="24"/>
          <w:szCs w:val="24"/>
        </w:rPr>
        <w:t>(</w:t>
      </w:r>
      <w:r w:rsidR="00400360">
        <w:rPr>
          <w:rFonts w:eastAsiaTheme="minorHAnsi"/>
          <w:sz w:val="24"/>
          <w:szCs w:val="24"/>
        </w:rPr>
        <w:t xml:space="preserve">because CRE tightening is </w:t>
      </w:r>
      <w:r w:rsidR="005D5465">
        <w:rPr>
          <w:rFonts w:eastAsiaTheme="minorHAnsi"/>
          <w:sz w:val="24"/>
          <w:szCs w:val="24"/>
        </w:rPr>
        <w:t xml:space="preserve">an aggregate </w:t>
      </w:r>
      <w:r w:rsidR="00400360">
        <w:rPr>
          <w:rFonts w:eastAsiaTheme="minorHAnsi"/>
          <w:sz w:val="24"/>
          <w:szCs w:val="24"/>
        </w:rPr>
        <w:t>measure</w:t>
      </w:r>
      <w:r>
        <w:rPr>
          <w:rFonts w:eastAsiaTheme="minorHAnsi"/>
          <w:sz w:val="24"/>
          <w:szCs w:val="24"/>
        </w:rPr>
        <w:t>)</w:t>
      </w:r>
      <w:r w:rsidR="004C60B0">
        <w:rPr>
          <w:rFonts w:eastAsiaTheme="minorHAnsi"/>
          <w:sz w:val="24"/>
          <w:szCs w:val="24"/>
        </w:rPr>
        <w:t xml:space="preserve">. </w:t>
      </w:r>
      <w:r w:rsidR="00400360">
        <w:rPr>
          <w:rFonts w:eastAsiaTheme="minorHAnsi"/>
          <w:sz w:val="24"/>
          <w:szCs w:val="24"/>
        </w:rPr>
        <w:t>A</w:t>
      </w:r>
      <w:r>
        <w:rPr>
          <w:rFonts w:eastAsiaTheme="minorHAnsi"/>
          <w:sz w:val="24"/>
          <w:szCs w:val="24"/>
        </w:rPr>
        <w:t>n evaluative</w:t>
      </w:r>
      <w:r w:rsidR="00400360">
        <w:rPr>
          <w:rFonts w:eastAsiaTheme="minorHAnsi"/>
          <w:sz w:val="24"/>
          <w:szCs w:val="24"/>
        </w:rPr>
        <w:t xml:space="preserve"> statement is </w:t>
      </w:r>
      <w:r>
        <w:rPr>
          <w:rFonts w:eastAsiaTheme="minorHAnsi"/>
          <w:sz w:val="24"/>
          <w:szCs w:val="24"/>
        </w:rPr>
        <w:t xml:space="preserve">whether </w:t>
      </w:r>
      <w:r w:rsidR="00400360">
        <w:rPr>
          <w:rFonts w:eastAsiaTheme="minorHAnsi"/>
          <w:sz w:val="24"/>
          <w:szCs w:val="24"/>
        </w:rPr>
        <w:t xml:space="preserve">effective rents </w:t>
      </w:r>
      <w:r>
        <w:rPr>
          <w:rFonts w:eastAsiaTheme="minorHAnsi"/>
          <w:sz w:val="24"/>
          <w:szCs w:val="24"/>
        </w:rPr>
        <w:t>and CRE prices are cointegrated</w:t>
      </w:r>
      <w:r w:rsidR="004C60B0">
        <w:rPr>
          <w:rFonts w:eastAsiaTheme="minorHAnsi"/>
          <w:sz w:val="24"/>
          <w:szCs w:val="24"/>
        </w:rPr>
        <w:t xml:space="preserve">. </w:t>
      </w:r>
      <w:r w:rsidR="00400360">
        <w:rPr>
          <w:rFonts w:eastAsiaTheme="minorHAnsi"/>
          <w:sz w:val="24"/>
          <w:szCs w:val="24"/>
        </w:rPr>
        <w:t>If true, the two series share a common stochastic trend</w:t>
      </w:r>
      <w:r w:rsidR="004C60B0">
        <w:rPr>
          <w:rFonts w:eastAsiaTheme="minorHAnsi"/>
          <w:sz w:val="24"/>
          <w:szCs w:val="24"/>
        </w:rPr>
        <w:t xml:space="preserve">. </w:t>
      </w:r>
      <w:r w:rsidR="00400360">
        <w:rPr>
          <w:rFonts w:eastAsiaTheme="minorHAnsi"/>
          <w:sz w:val="24"/>
          <w:szCs w:val="24"/>
        </w:rPr>
        <w:t xml:space="preserve">The qualifying statement </w:t>
      </w:r>
      <w:r>
        <w:rPr>
          <w:rFonts w:eastAsiaTheme="minorHAnsi"/>
          <w:sz w:val="24"/>
          <w:szCs w:val="24"/>
        </w:rPr>
        <w:t xml:space="preserve">in the definition of cointegration is that </w:t>
      </w:r>
      <w:r w:rsidR="00400360">
        <w:rPr>
          <w:rFonts w:eastAsiaTheme="minorHAnsi"/>
          <w:sz w:val="24"/>
          <w:szCs w:val="24"/>
        </w:rPr>
        <w:t xml:space="preserve">both series </w:t>
      </w:r>
      <w:r>
        <w:rPr>
          <w:rFonts w:eastAsiaTheme="minorHAnsi"/>
          <w:sz w:val="24"/>
          <w:szCs w:val="24"/>
        </w:rPr>
        <w:t xml:space="preserve">are </w:t>
      </w:r>
      <w:r w:rsidR="00400360">
        <w:rPr>
          <w:rFonts w:eastAsiaTheme="minorHAnsi"/>
          <w:sz w:val="24"/>
          <w:szCs w:val="24"/>
        </w:rPr>
        <w:t>nonstationary, yet the TBI series is stationary</w:t>
      </w:r>
      <w:r w:rsidR="004C60B0">
        <w:rPr>
          <w:rFonts w:eastAsiaTheme="minorHAnsi"/>
          <w:sz w:val="24"/>
          <w:szCs w:val="24"/>
        </w:rPr>
        <w:t xml:space="preserve">. </w:t>
      </w:r>
      <w:r>
        <w:rPr>
          <w:rFonts w:eastAsiaTheme="minorHAnsi"/>
          <w:sz w:val="24"/>
          <w:szCs w:val="24"/>
        </w:rPr>
        <w:t>I</w:t>
      </w:r>
      <w:r w:rsidR="00400360">
        <w:rPr>
          <w:rFonts w:eastAsiaTheme="minorHAnsi"/>
          <w:sz w:val="24"/>
          <w:szCs w:val="24"/>
        </w:rPr>
        <w:t xml:space="preserve">n </w:t>
      </w:r>
      <w:r w:rsidR="00400360">
        <w:rPr>
          <w:sz w:val="24"/>
          <w:szCs w:val="24"/>
        </w:rPr>
        <w:t>Ghysels, Plazzi, Torous and Valkanov (2012), the NCREIF series is more predictable than TBI series (R-square in Table 5 approach 76.7</w:t>
      </w:r>
      <w:r w:rsidR="00CE7C0A">
        <w:rPr>
          <w:sz w:val="24"/>
          <w:szCs w:val="24"/>
        </w:rPr>
        <w:t xml:space="preserve"> percent</w:t>
      </w:r>
      <w:r w:rsidR="00400360">
        <w:rPr>
          <w:sz w:val="24"/>
          <w:szCs w:val="24"/>
        </w:rPr>
        <w:t xml:space="preserve"> for NCREIF vs. 31.7</w:t>
      </w:r>
      <w:r w:rsidR="00CE7C0A">
        <w:rPr>
          <w:sz w:val="24"/>
          <w:szCs w:val="24"/>
        </w:rPr>
        <w:t xml:space="preserve"> percent</w:t>
      </w:r>
      <w:r w:rsidR="00400360">
        <w:rPr>
          <w:sz w:val="24"/>
          <w:szCs w:val="24"/>
        </w:rPr>
        <w:t xml:space="preserve"> for TBI). </w:t>
      </w:r>
      <w:r w:rsidR="00400360">
        <w:rPr>
          <w:rFonts w:eastAsiaTheme="minorHAnsi"/>
          <w:sz w:val="24"/>
          <w:szCs w:val="24"/>
        </w:rPr>
        <w:t xml:space="preserve">In this study, the NCREIF series </w:t>
      </w:r>
      <w:r>
        <w:rPr>
          <w:rFonts w:eastAsiaTheme="minorHAnsi"/>
          <w:sz w:val="24"/>
          <w:szCs w:val="24"/>
        </w:rPr>
        <w:t xml:space="preserve">is used </w:t>
      </w:r>
      <w:r w:rsidR="00400360">
        <w:rPr>
          <w:rFonts w:eastAsiaTheme="minorHAnsi"/>
          <w:sz w:val="24"/>
          <w:szCs w:val="24"/>
        </w:rPr>
        <w:t xml:space="preserve">because </w:t>
      </w:r>
      <w:r>
        <w:rPr>
          <w:rFonts w:eastAsiaTheme="minorHAnsi"/>
          <w:sz w:val="24"/>
          <w:szCs w:val="24"/>
        </w:rPr>
        <w:t xml:space="preserve">(i) </w:t>
      </w:r>
      <w:r w:rsidR="00400360">
        <w:rPr>
          <w:rFonts w:eastAsiaTheme="minorHAnsi"/>
          <w:sz w:val="24"/>
          <w:szCs w:val="24"/>
        </w:rPr>
        <w:t xml:space="preserve">the inability of appraisal-smoothing to reflect immediate changes in transaction values is </w:t>
      </w:r>
      <w:r w:rsidR="007029CA">
        <w:rPr>
          <w:rFonts w:eastAsiaTheme="minorHAnsi"/>
          <w:sz w:val="24"/>
          <w:szCs w:val="24"/>
        </w:rPr>
        <w:t xml:space="preserve">potentially </w:t>
      </w:r>
      <w:r>
        <w:rPr>
          <w:rFonts w:eastAsiaTheme="minorHAnsi"/>
          <w:sz w:val="24"/>
          <w:szCs w:val="24"/>
        </w:rPr>
        <w:t xml:space="preserve">trivial with </w:t>
      </w:r>
      <w:r w:rsidR="00400360">
        <w:rPr>
          <w:rFonts w:eastAsiaTheme="minorHAnsi"/>
          <w:sz w:val="24"/>
          <w:szCs w:val="24"/>
        </w:rPr>
        <w:t xml:space="preserve">quarterly data, </w:t>
      </w:r>
      <w:r>
        <w:rPr>
          <w:rFonts w:eastAsiaTheme="minorHAnsi"/>
          <w:sz w:val="24"/>
          <w:szCs w:val="24"/>
        </w:rPr>
        <w:t>(ii)</w:t>
      </w:r>
      <w:r w:rsidR="00400360">
        <w:rPr>
          <w:rFonts w:eastAsiaTheme="minorHAnsi"/>
          <w:b/>
          <w:sz w:val="24"/>
          <w:szCs w:val="24"/>
        </w:rPr>
        <w:t xml:space="preserve"> </w:t>
      </w:r>
      <w:r w:rsidR="00400360">
        <w:rPr>
          <w:rFonts w:eastAsiaTheme="minorHAnsi"/>
          <w:sz w:val="24"/>
          <w:szCs w:val="24"/>
        </w:rPr>
        <w:t xml:space="preserve">the TBI series is highly noisy rendering it less useful for return predictability, and </w:t>
      </w:r>
      <w:r>
        <w:rPr>
          <w:rFonts w:eastAsiaTheme="minorHAnsi"/>
          <w:sz w:val="24"/>
          <w:szCs w:val="24"/>
        </w:rPr>
        <w:t>(iii)</w:t>
      </w:r>
      <w:r w:rsidR="00400360">
        <w:rPr>
          <w:rFonts w:eastAsiaTheme="minorHAnsi"/>
          <w:b/>
          <w:sz w:val="24"/>
          <w:szCs w:val="24"/>
        </w:rPr>
        <w:t xml:space="preserve"> </w:t>
      </w:r>
      <w:r w:rsidR="00400360">
        <w:rPr>
          <w:rFonts w:eastAsiaTheme="minorHAnsi"/>
          <w:sz w:val="24"/>
          <w:szCs w:val="24"/>
        </w:rPr>
        <w:t xml:space="preserve">the stationary property of the TBI series makes evaluation of the cointegration </w:t>
      </w:r>
      <w:r w:rsidR="00232595">
        <w:rPr>
          <w:rFonts w:eastAsiaTheme="minorHAnsi"/>
          <w:sz w:val="24"/>
          <w:szCs w:val="24"/>
        </w:rPr>
        <w:t xml:space="preserve">relationship </w:t>
      </w:r>
      <w:r w:rsidR="00400360">
        <w:rPr>
          <w:rFonts w:eastAsiaTheme="minorHAnsi"/>
          <w:sz w:val="24"/>
          <w:szCs w:val="24"/>
        </w:rPr>
        <w:t>between rents and prices impractical</w:t>
      </w:r>
      <w:r w:rsidR="004C60B0">
        <w:rPr>
          <w:rFonts w:eastAsiaTheme="minorHAnsi"/>
          <w:sz w:val="24"/>
          <w:szCs w:val="24"/>
        </w:rPr>
        <w:t xml:space="preserve">. </w:t>
      </w:r>
      <w:r w:rsidR="00400360">
        <w:rPr>
          <w:rFonts w:eastAsiaTheme="minorHAnsi"/>
          <w:sz w:val="24"/>
          <w:szCs w:val="24"/>
        </w:rPr>
        <w:t xml:space="preserve">Using NCREIF instead of TBI actually biases the analysis in favor of finding causality for </w:t>
      </w:r>
      <w:r w:rsidR="001460F7">
        <w:rPr>
          <w:rFonts w:eastAsiaTheme="minorHAnsi"/>
          <w:sz w:val="24"/>
          <w:szCs w:val="24"/>
        </w:rPr>
        <w:t>i</w:t>
      </w:r>
      <w:r w:rsidR="00400360">
        <w:rPr>
          <w:rFonts w:eastAsiaTheme="minorHAnsi"/>
          <w:sz w:val="24"/>
          <w:szCs w:val="24"/>
        </w:rPr>
        <w:t xml:space="preserve">ncome </w:t>
      </w:r>
      <w:r w:rsidR="001460F7">
        <w:rPr>
          <w:rFonts w:eastAsiaTheme="minorHAnsi"/>
          <w:sz w:val="24"/>
          <w:szCs w:val="24"/>
        </w:rPr>
        <w:t>r</w:t>
      </w:r>
      <w:r w:rsidR="00400360">
        <w:rPr>
          <w:rFonts w:eastAsiaTheme="minorHAnsi"/>
          <w:sz w:val="24"/>
          <w:szCs w:val="24"/>
        </w:rPr>
        <w:t xml:space="preserve">eturns to </w:t>
      </w:r>
      <w:r w:rsidR="001460F7">
        <w:rPr>
          <w:rFonts w:eastAsiaTheme="minorHAnsi"/>
          <w:sz w:val="24"/>
          <w:szCs w:val="24"/>
        </w:rPr>
        <w:t>c</w:t>
      </w:r>
      <w:r w:rsidR="00400360">
        <w:rPr>
          <w:rFonts w:eastAsiaTheme="minorHAnsi"/>
          <w:sz w:val="24"/>
          <w:szCs w:val="24"/>
        </w:rPr>
        <w:t xml:space="preserve">apital </w:t>
      </w:r>
      <w:r w:rsidR="001460F7">
        <w:rPr>
          <w:rFonts w:eastAsiaTheme="minorHAnsi"/>
          <w:sz w:val="24"/>
          <w:szCs w:val="24"/>
        </w:rPr>
        <w:t>g</w:t>
      </w:r>
      <w:r w:rsidR="00400360">
        <w:rPr>
          <w:rFonts w:eastAsiaTheme="minorHAnsi"/>
          <w:sz w:val="24"/>
          <w:szCs w:val="24"/>
        </w:rPr>
        <w:t xml:space="preserve">ains. </w:t>
      </w:r>
    </w:p>
    <w:p w:rsidR="000D3C5D" w:rsidRDefault="000D3C5D">
      <w:pPr>
        <w:overflowPunct/>
        <w:autoSpaceDE/>
        <w:autoSpaceDN/>
        <w:adjustRightInd/>
        <w:spacing w:after="200" w:line="276" w:lineRule="auto"/>
        <w:textAlignment w:val="auto"/>
        <w:rPr>
          <w:b/>
          <w:sz w:val="24"/>
          <w:szCs w:val="24"/>
        </w:rPr>
      </w:pPr>
    </w:p>
    <w:p w:rsidR="002367F6" w:rsidRPr="00BD253F" w:rsidRDefault="00F36166" w:rsidP="00C20839">
      <w:pPr>
        <w:spacing w:line="480" w:lineRule="auto"/>
        <w:jc w:val="both"/>
        <w:rPr>
          <w:b/>
          <w:sz w:val="24"/>
          <w:szCs w:val="24"/>
        </w:rPr>
      </w:pPr>
      <w:r w:rsidRPr="00BD253F">
        <w:rPr>
          <w:b/>
          <w:sz w:val="24"/>
          <w:szCs w:val="24"/>
        </w:rPr>
        <w:t xml:space="preserve">III. </w:t>
      </w:r>
      <w:r w:rsidR="006821D1" w:rsidRPr="00BD253F">
        <w:rPr>
          <w:b/>
          <w:sz w:val="24"/>
          <w:szCs w:val="24"/>
        </w:rPr>
        <w:t xml:space="preserve">Data </w:t>
      </w:r>
      <w:r w:rsidR="00B07DA4">
        <w:rPr>
          <w:b/>
          <w:sz w:val="24"/>
          <w:szCs w:val="24"/>
        </w:rPr>
        <w:t>&amp; Methodology</w:t>
      </w:r>
    </w:p>
    <w:p w:rsidR="00F36166" w:rsidRPr="000D3C5D" w:rsidRDefault="00CE7C0A" w:rsidP="000D3C5D">
      <w:pPr>
        <w:spacing w:line="480" w:lineRule="auto"/>
        <w:jc w:val="both"/>
        <w:rPr>
          <w:sz w:val="24"/>
          <w:szCs w:val="24"/>
        </w:rPr>
      </w:pPr>
      <w:r>
        <w:rPr>
          <w:sz w:val="24"/>
          <w:szCs w:val="24"/>
        </w:rPr>
        <w:t>CRE</w:t>
      </w:r>
      <w:r w:rsidR="00F36166" w:rsidRPr="00BD253F">
        <w:rPr>
          <w:sz w:val="24"/>
          <w:szCs w:val="24"/>
        </w:rPr>
        <w:t xml:space="preserve"> return data </w:t>
      </w:r>
      <w:r w:rsidR="00921135" w:rsidRPr="00BD253F">
        <w:rPr>
          <w:sz w:val="24"/>
          <w:szCs w:val="24"/>
        </w:rPr>
        <w:t xml:space="preserve">for the U.S. </w:t>
      </w:r>
      <w:r w:rsidR="00F36166" w:rsidRPr="00BD253F">
        <w:rPr>
          <w:sz w:val="24"/>
          <w:szCs w:val="24"/>
        </w:rPr>
        <w:t xml:space="preserve">are collected from NCREIF </w:t>
      </w:r>
      <w:r w:rsidR="00C952FD">
        <w:rPr>
          <w:sz w:val="24"/>
          <w:szCs w:val="24"/>
        </w:rPr>
        <w:t xml:space="preserve">and evaluated for all </w:t>
      </w:r>
      <w:r w:rsidR="00F36166" w:rsidRPr="00BD253F">
        <w:rPr>
          <w:sz w:val="24"/>
          <w:szCs w:val="24"/>
        </w:rPr>
        <w:t>property types</w:t>
      </w:r>
      <w:r w:rsidR="004C60B0">
        <w:rPr>
          <w:sz w:val="24"/>
          <w:szCs w:val="24"/>
        </w:rPr>
        <w:t xml:space="preserve">. </w:t>
      </w:r>
      <w:r w:rsidR="006E540F">
        <w:rPr>
          <w:sz w:val="24"/>
          <w:szCs w:val="24"/>
        </w:rPr>
        <w:t xml:space="preserve">Properties in the </w:t>
      </w:r>
      <w:r w:rsidR="006E540F" w:rsidRPr="006E540F">
        <w:rPr>
          <w:sz w:val="24"/>
          <w:szCs w:val="24"/>
        </w:rPr>
        <w:t xml:space="preserve">NCREIF </w:t>
      </w:r>
      <w:r w:rsidR="006E540F">
        <w:rPr>
          <w:sz w:val="24"/>
          <w:szCs w:val="24"/>
        </w:rPr>
        <w:t xml:space="preserve">data are institutional-grade CRE assets </w:t>
      </w:r>
      <w:r w:rsidR="006E540F" w:rsidRPr="006E540F">
        <w:rPr>
          <w:sz w:val="24"/>
          <w:szCs w:val="24"/>
        </w:rPr>
        <w:t xml:space="preserve">managed by </w:t>
      </w:r>
      <w:r w:rsidR="006E540F">
        <w:rPr>
          <w:sz w:val="24"/>
          <w:szCs w:val="24"/>
        </w:rPr>
        <w:t xml:space="preserve">real estate </w:t>
      </w:r>
      <w:r w:rsidR="006E540F" w:rsidRPr="006E540F">
        <w:rPr>
          <w:sz w:val="24"/>
          <w:szCs w:val="24"/>
        </w:rPr>
        <w:t>investment fiduciaries</w:t>
      </w:r>
      <w:r w:rsidR="006E540F">
        <w:rPr>
          <w:sz w:val="24"/>
          <w:szCs w:val="24"/>
        </w:rPr>
        <w:t xml:space="preserve"> for tax-exempt investors.</w:t>
      </w:r>
      <w:r w:rsidR="006E540F" w:rsidRPr="006E540F">
        <w:rPr>
          <w:sz w:val="24"/>
          <w:szCs w:val="24"/>
        </w:rPr>
        <w:t xml:space="preserve"> </w:t>
      </w:r>
      <w:r w:rsidR="00F36166" w:rsidRPr="00BD253F">
        <w:rPr>
          <w:sz w:val="24"/>
          <w:szCs w:val="24"/>
        </w:rPr>
        <w:t xml:space="preserve">The NCREIF </w:t>
      </w:r>
      <w:r w:rsidR="006E540F">
        <w:rPr>
          <w:sz w:val="24"/>
          <w:szCs w:val="24"/>
        </w:rPr>
        <w:t xml:space="preserve">National Property Index (NPI) is a value-weighted index based on appraised property values. </w:t>
      </w:r>
      <w:r w:rsidR="00F36166" w:rsidRPr="00BD253F">
        <w:rPr>
          <w:sz w:val="24"/>
          <w:szCs w:val="24"/>
        </w:rPr>
        <w:t xml:space="preserve">The NCREIF </w:t>
      </w:r>
      <w:r w:rsidR="006E540F">
        <w:rPr>
          <w:sz w:val="24"/>
          <w:szCs w:val="24"/>
        </w:rPr>
        <w:t xml:space="preserve">NPI </w:t>
      </w:r>
      <w:r w:rsidR="00F36166" w:rsidRPr="00BD253F">
        <w:rPr>
          <w:sz w:val="24"/>
          <w:szCs w:val="24"/>
        </w:rPr>
        <w:t>returns series is available at quarterly frequency from 1978Q1 thru 2014Q2, and partitioned into Income Returns and Capital Gains components</w:t>
      </w:r>
      <w:r w:rsidR="004C60B0">
        <w:rPr>
          <w:sz w:val="24"/>
          <w:szCs w:val="24"/>
        </w:rPr>
        <w:t xml:space="preserve">. </w:t>
      </w:r>
      <w:r w:rsidR="00F36166" w:rsidRPr="00BD253F">
        <w:rPr>
          <w:sz w:val="24"/>
          <w:szCs w:val="24"/>
        </w:rPr>
        <w:t>Figure 1 displays the time series</w:t>
      </w:r>
      <w:r w:rsidR="004C60B0">
        <w:rPr>
          <w:sz w:val="24"/>
          <w:szCs w:val="24"/>
        </w:rPr>
        <w:t xml:space="preserve">. </w:t>
      </w:r>
      <w:r w:rsidR="00F36166" w:rsidRPr="00BD253F">
        <w:rPr>
          <w:sz w:val="24"/>
          <w:szCs w:val="24"/>
        </w:rPr>
        <w:t>Income Returns are depicted by the dashed line; Capital Gains by the solid bold line</w:t>
      </w:r>
      <w:r w:rsidR="004C60B0">
        <w:rPr>
          <w:sz w:val="24"/>
          <w:szCs w:val="24"/>
        </w:rPr>
        <w:t xml:space="preserve">. </w:t>
      </w:r>
      <w:r w:rsidR="00F36166" w:rsidRPr="00BD253F">
        <w:rPr>
          <w:sz w:val="24"/>
          <w:szCs w:val="24"/>
        </w:rPr>
        <w:t>Volume is measured as the percentage of turnover in the NCREIF database per quarter based on the number of transactions in the TBI (Transactions-Based Index) which initiates in 1982</w:t>
      </w:r>
      <w:r w:rsidR="004C60B0">
        <w:rPr>
          <w:sz w:val="24"/>
          <w:szCs w:val="24"/>
        </w:rPr>
        <w:t xml:space="preserve">. </w:t>
      </w:r>
      <w:r w:rsidR="005926F0">
        <w:rPr>
          <w:sz w:val="24"/>
          <w:szCs w:val="24"/>
        </w:rPr>
        <w:t xml:space="preserve">The proxy for Volume using </w:t>
      </w:r>
      <w:r w:rsidR="005926F0" w:rsidRPr="000D3C5D">
        <w:rPr>
          <w:sz w:val="24"/>
          <w:szCs w:val="24"/>
        </w:rPr>
        <w:t>turnover in the NCREIF index was developed by Fisher, Gatzlaff, Geltner and Haurin (2003)</w:t>
      </w:r>
      <w:r w:rsidR="000D3C5D" w:rsidRPr="000D3C5D">
        <w:rPr>
          <w:sz w:val="24"/>
          <w:szCs w:val="24"/>
        </w:rPr>
        <w:t xml:space="preserve"> – it is the same </w:t>
      </w:r>
      <w:r w:rsidR="00CC5E62" w:rsidRPr="000D3C5D">
        <w:rPr>
          <w:sz w:val="24"/>
          <w:szCs w:val="24"/>
        </w:rPr>
        <w:t xml:space="preserve">measure </w:t>
      </w:r>
      <w:r w:rsidR="000D3C5D" w:rsidRPr="000D3C5D">
        <w:rPr>
          <w:sz w:val="24"/>
          <w:szCs w:val="24"/>
        </w:rPr>
        <w:t>as used by Ling</w:t>
      </w:r>
      <w:r w:rsidR="000A1667">
        <w:rPr>
          <w:sz w:val="24"/>
          <w:szCs w:val="24"/>
        </w:rPr>
        <w:t>, Naranjo and Scheick</w:t>
      </w:r>
      <w:r w:rsidR="000D3C5D" w:rsidRPr="000D3C5D">
        <w:rPr>
          <w:sz w:val="24"/>
          <w:szCs w:val="24"/>
        </w:rPr>
        <w:t xml:space="preserve"> (2014)</w:t>
      </w:r>
      <w:r w:rsidR="004C60B0" w:rsidRPr="000D3C5D">
        <w:rPr>
          <w:sz w:val="24"/>
          <w:szCs w:val="24"/>
        </w:rPr>
        <w:t>.</w:t>
      </w:r>
      <w:r w:rsidR="008264B3">
        <w:rPr>
          <w:sz w:val="24"/>
          <w:szCs w:val="24"/>
        </w:rPr>
        <w:t xml:space="preserve"> </w:t>
      </w:r>
      <w:r w:rsidR="00F36166" w:rsidRPr="000D3C5D">
        <w:rPr>
          <w:sz w:val="24"/>
          <w:szCs w:val="24"/>
        </w:rPr>
        <w:t xml:space="preserve"> </w:t>
      </w:r>
    </w:p>
    <w:p w:rsidR="00FD1547" w:rsidRPr="00BD253F" w:rsidRDefault="00FD1547" w:rsidP="000D3C5D">
      <w:pPr>
        <w:spacing w:line="480" w:lineRule="auto"/>
        <w:jc w:val="both"/>
        <w:rPr>
          <w:sz w:val="24"/>
          <w:szCs w:val="24"/>
        </w:rPr>
      </w:pPr>
      <w:r w:rsidRPr="00BD253F">
        <w:rPr>
          <w:sz w:val="24"/>
          <w:szCs w:val="24"/>
        </w:rPr>
        <w:tab/>
        <w:t>From Figure 1 it is apparent that Capital Gains returns are highly volatile while Income Returns are stable</w:t>
      </w:r>
      <w:r w:rsidR="00C952FD">
        <w:rPr>
          <w:sz w:val="24"/>
          <w:szCs w:val="24"/>
        </w:rPr>
        <w:t xml:space="preserve"> through CRE cycles</w:t>
      </w:r>
      <w:r w:rsidR="004C60B0">
        <w:rPr>
          <w:sz w:val="24"/>
          <w:szCs w:val="24"/>
        </w:rPr>
        <w:t xml:space="preserve">. </w:t>
      </w:r>
      <w:r w:rsidR="0054598D" w:rsidRPr="00BD253F">
        <w:rPr>
          <w:sz w:val="24"/>
          <w:szCs w:val="24"/>
        </w:rPr>
        <w:t>Table 1 presents summary statistics for the 96 quarter sample period</w:t>
      </w:r>
      <w:r w:rsidR="004C60B0">
        <w:rPr>
          <w:sz w:val="24"/>
          <w:szCs w:val="24"/>
        </w:rPr>
        <w:t xml:space="preserve">. </w:t>
      </w:r>
      <w:r w:rsidR="0054598D">
        <w:rPr>
          <w:sz w:val="24"/>
          <w:szCs w:val="24"/>
        </w:rPr>
        <w:t>Values for the NCREIF series include</w:t>
      </w:r>
      <w:r w:rsidR="0054598D" w:rsidRPr="00BD253F">
        <w:rPr>
          <w:sz w:val="24"/>
          <w:szCs w:val="24"/>
        </w:rPr>
        <w:t xml:space="preserve"> Income Returns, Capital Gains</w:t>
      </w:r>
      <w:r w:rsidR="00E873BA">
        <w:rPr>
          <w:sz w:val="24"/>
          <w:szCs w:val="24"/>
        </w:rPr>
        <w:t>,</w:t>
      </w:r>
      <w:r w:rsidR="0054598D" w:rsidRPr="00BD253F">
        <w:rPr>
          <w:sz w:val="24"/>
          <w:szCs w:val="24"/>
        </w:rPr>
        <w:t xml:space="preserve"> and Volume</w:t>
      </w:r>
      <w:r w:rsidR="00CB6324">
        <w:rPr>
          <w:sz w:val="24"/>
          <w:szCs w:val="24"/>
        </w:rPr>
        <w:t>.</w:t>
      </w:r>
      <w:r w:rsidR="004C60B0">
        <w:rPr>
          <w:sz w:val="24"/>
          <w:szCs w:val="24"/>
        </w:rPr>
        <w:t xml:space="preserve"> </w:t>
      </w:r>
      <w:r w:rsidR="0054598D" w:rsidRPr="00BD253F">
        <w:rPr>
          <w:sz w:val="24"/>
          <w:szCs w:val="24"/>
        </w:rPr>
        <w:t>Quarterly Income Returns average 1.8</w:t>
      </w:r>
      <w:r w:rsidR="0054598D">
        <w:rPr>
          <w:sz w:val="24"/>
          <w:szCs w:val="24"/>
        </w:rPr>
        <w:t xml:space="preserve"> percent</w:t>
      </w:r>
      <w:r w:rsidR="0054598D" w:rsidRPr="00BD253F">
        <w:rPr>
          <w:sz w:val="24"/>
          <w:szCs w:val="24"/>
        </w:rPr>
        <w:t xml:space="preserve"> with standard deviation 0.3</w:t>
      </w:r>
      <w:r w:rsidR="0054598D">
        <w:rPr>
          <w:sz w:val="24"/>
          <w:szCs w:val="24"/>
        </w:rPr>
        <w:t xml:space="preserve"> percent</w:t>
      </w:r>
      <w:r w:rsidR="004C60B0">
        <w:rPr>
          <w:sz w:val="24"/>
          <w:szCs w:val="24"/>
        </w:rPr>
        <w:t xml:space="preserve">. </w:t>
      </w:r>
      <w:r w:rsidR="00CB6324">
        <w:rPr>
          <w:sz w:val="24"/>
          <w:szCs w:val="24"/>
        </w:rPr>
        <w:t xml:space="preserve">By comparison, the sample </w:t>
      </w:r>
      <w:r w:rsidR="0054598D">
        <w:rPr>
          <w:sz w:val="24"/>
          <w:szCs w:val="24"/>
        </w:rPr>
        <w:t xml:space="preserve">average for </w:t>
      </w:r>
      <w:r w:rsidR="0054598D" w:rsidRPr="00BD253F">
        <w:rPr>
          <w:sz w:val="24"/>
          <w:szCs w:val="24"/>
        </w:rPr>
        <w:t xml:space="preserve">Capital Gains </w:t>
      </w:r>
      <w:r w:rsidR="0054598D">
        <w:rPr>
          <w:sz w:val="24"/>
          <w:szCs w:val="24"/>
        </w:rPr>
        <w:t xml:space="preserve">is </w:t>
      </w:r>
      <w:r w:rsidR="0054598D" w:rsidRPr="00BD253F">
        <w:rPr>
          <w:sz w:val="24"/>
          <w:szCs w:val="24"/>
        </w:rPr>
        <w:t>0.</w:t>
      </w:r>
      <w:r w:rsidR="0054598D">
        <w:rPr>
          <w:sz w:val="24"/>
          <w:szCs w:val="24"/>
        </w:rPr>
        <w:t>1 percent</w:t>
      </w:r>
      <w:r w:rsidR="0054598D" w:rsidRPr="00BD253F">
        <w:rPr>
          <w:sz w:val="24"/>
          <w:szCs w:val="24"/>
        </w:rPr>
        <w:t xml:space="preserve"> </w:t>
      </w:r>
      <w:r w:rsidR="0054598D">
        <w:rPr>
          <w:sz w:val="24"/>
          <w:szCs w:val="24"/>
        </w:rPr>
        <w:t>with standard deviation 2.4 percent</w:t>
      </w:r>
      <w:r w:rsidR="004C60B0">
        <w:rPr>
          <w:sz w:val="24"/>
          <w:szCs w:val="24"/>
        </w:rPr>
        <w:t xml:space="preserve">. </w:t>
      </w:r>
      <w:r w:rsidR="0054598D">
        <w:rPr>
          <w:sz w:val="24"/>
          <w:szCs w:val="24"/>
        </w:rPr>
        <w:t>Capital Gains are much more volatile than Income Returns throughout the sample</w:t>
      </w:r>
      <w:r w:rsidR="004C60B0">
        <w:rPr>
          <w:sz w:val="24"/>
          <w:szCs w:val="24"/>
        </w:rPr>
        <w:t xml:space="preserve">. </w:t>
      </w:r>
      <w:r w:rsidRPr="00BD253F">
        <w:rPr>
          <w:sz w:val="24"/>
          <w:szCs w:val="24"/>
        </w:rPr>
        <w:t xml:space="preserve">The standard deviation of quarterly Capital Gains is 8 times greater than that of Income Returns, </w:t>
      </w:r>
      <w:r w:rsidR="00921135" w:rsidRPr="00BD253F">
        <w:rPr>
          <w:sz w:val="24"/>
          <w:szCs w:val="24"/>
        </w:rPr>
        <w:t xml:space="preserve">even </w:t>
      </w:r>
      <w:r w:rsidR="00C952FD">
        <w:rPr>
          <w:sz w:val="24"/>
          <w:szCs w:val="24"/>
        </w:rPr>
        <w:t xml:space="preserve">while </w:t>
      </w:r>
      <w:r w:rsidRPr="00BD253F">
        <w:rPr>
          <w:sz w:val="24"/>
          <w:szCs w:val="24"/>
        </w:rPr>
        <w:t xml:space="preserve">average Capital Gains </w:t>
      </w:r>
      <w:r w:rsidR="00EE4D59" w:rsidRPr="00BD253F">
        <w:rPr>
          <w:sz w:val="24"/>
          <w:szCs w:val="24"/>
        </w:rPr>
        <w:t xml:space="preserve">are </w:t>
      </w:r>
      <w:r w:rsidRPr="00BD253F">
        <w:rPr>
          <w:sz w:val="24"/>
          <w:szCs w:val="24"/>
        </w:rPr>
        <w:t xml:space="preserve">less than </w:t>
      </w:r>
      <w:r w:rsidR="00C952FD">
        <w:rPr>
          <w:sz w:val="24"/>
          <w:szCs w:val="24"/>
        </w:rPr>
        <w:t>1/18</w:t>
      </w:r>
      <w:r w:rsidR="00C952FD" w:rsidRPr="00C952FD">
        <w:rPr>
          <w:sz w:val="24"/>
          <w:szCs w:val="24"/>
          <w:vertAlign w:val="superscript"/>
        </w:rPr>
        <w:t>th</w:t>
      </w:r>
      <w:r w:rsidR="00C952FD">
        <w:rPr>
          <w:sz w:val="24"/>
          <w:szCs w:val="24"/>
        </w:rPr>
        <w:t xml:space="preserve"> </w:t>
      </w:r>
      <w:r w:rsidR="00921135" w:rsidRPr="00BD253F">
        <w:rPr>
          <w:sz w:val="24"/>
          <w:szCs w:val="24"/>
        </w:rPr>
        <w:t xml:space="preserve">the average </w:t>
      </w:r>
      <w:r w:rsidR="00C952FD">
        <w:rPr>
          <w:sz w:val="24"/>
          <w:szCs w:val="24"/>
        </w:rPr>
        <w:t xml:space="preserve">value </w:t>
      </w:r>
      <w:r w:rsidR="00921135" w:rsidRPr="00BD253F">
        <w:rPr>
          <w:sz w:val="24"/>
          <w:szCs w:val="24"/>
        </w:rPr>
        <w:t>for Income Returns</w:t>
      </w:r>
      <w:r w:rsidR="004C60B0">
        <w:rPr>
          <w:sz w:val="24"/>
          <w:szCs w:val="24"/>
        </w:rPr>
        <w:t xml:space="preserve">. </w:t>
      </w:r>
      <w:r w:rsidR="00921135" w:rsidRPr="00BD253F">
        <w:rPr>
          <w:sz w:val="24"/>
          <w:szCs w:val="24"/>
        </w:rPr>
        <w:t xml:space="preserve">Capital Gains and Income Returns series are largely uncorrelated spanning multiple economic cycles (correlation coefficients </w:t>
      </w:r>
      <w:r w:rsidR="00C952FD">
        <w:rPr>
          <w:sz w:val="24"/>
          <w:szCs w:val="24"/>
        </w:rPr>
        <w:t xml:space="preserve">is just </w:t>
      </w:r>
      <w:r w:rsidR="00921135" w:rsidRPr="00BD253F">
        <w:rPr>
          <w:sz w:val="24"/>
          <w:szCs w:val="24"/>
        </w:rPr>
        <w:t>0.0</w:t>
      </w:r>
      <w:r w:rsidR="00C952FD">
        <w:rPr>
          <w:sz w:val="24"/>
          <w:szCs w:val="24"/>
        </w:rPr>
        <w:t>17</w:t>
      </w:r>
      <w:r w:rsidR="00921135" w:rsidRPr="00BD253F">
        <w:rPr>
          <w:sz w:val="24"/>
          <w:szCs w:val="24"/>
        </w:rPr>
        <w:t xml:space="preserve"> for </w:t>
      </w:r>
      <w:r w:rsidR="00C952FD">
        <w:rPr>
          <w:sz w:val="24"/>
          <w:szCs w:val="24"/>
        </w:rPr>
        <w:t>the series</w:t>
      </w:r>
      <w:r w:rsidR="00921135" w:rsidRPr="00BD253F">
        <w:rPr>
          <w:sz w:val="24"/>
          <w:szCs w:val="24"/>
        </w:rPr>
        <w:t>)</w:t>
      </w:r>
      <w:r w:rsidR="004C60B0">
        <w:rPr>
          <w:sz w:val="24"/>
          <w:szCs w:val="24"/>
        </w:rPr>
        <w:t xml:space="preserve">. </w:t>
      </w:r>
      <w:r w:rsidR="00921135" w:rsidRPr="00BD253F">
        <w:rPr>
          <w:sz w:val="24"/>
          <w:szCs w:val="24"/>
        </w:rPr>
        <w:t xml:space="preserve">Anecdotally, the picture </w:t>
      </w:r>
      <w:r w:rsidR="0054598D">
        <w:rPr>
          <w:sz w:val="24"/>
          <w:szCs w:val="24"/>
        </w:rPr>
        <w:t xml:space="preserve">in Figure 1 </w:t>
      </w:r>
      <w:r w:rsidR="00921135" w:rsidRPr="00BD253F">
        <w:rPr>
          <w:sz w:val="24"/>
          <w:szCs w:val="24"/>
        </w:rPr>
        <w:t xml:space="preserve">suggests that cycles in </w:t>
      </w:r>
      <w:r w:rsidR="00CE7C0A">
        <w:rPr>
          <w:sz w:val="24"/>
          <w:szCs w:val="24"/>
        </w:rPr>
        <w:t>CRE</w:t>
      </w:r>
      <w:r w:rsidR="00921135" w:rsidRPr="00BD253F">
        <w:rPr>
          <w:sz w:val="24"/>
          <w:szCs w:val="24"/>
        </w:rPr>
        <w:t xml:space="preserve"> prices are unlikely determined </w:t>
      </w:r>
      <w:r w:rsidR="006C7560" w:rsidRPr="00BD253F">
        <w:rPr>
          <w:sz w:val="24"/>
          <w:szCs w:val="24"/>
        </w:rPr>
        <w:t xml:space="preserve">exclusively </w:t>
      </w:r>
      <w:r w:rsidR="00921135" w:rsidRPr="00BD253F">
        <w:rPr>
          <w:sz w:val="24"/>
          <w:szCs w:val="24"/>
        </w:rPr>
        <w:t>by cycles in the underlying property market fundamentals</w:t>
      </w:r>
      <w:r w:rsidR="004C60B0">
        <w:rPr>
          <w:sz w:val="24"/>
          <w:szCs w:val="24"/>
        </w:rPr>
        <w:t xml:space="preserve">. </w:t>
      </w:r>
      <w:r w:rsidR="000547F5">
        <w:rPr>
          <w:sz w:val="24"/>
          <w:szCs w:val="24"/>
        </w:rPr>
        <w:t xml:space="preserve">Thus, the role of </w:t>
      </w:r>
      <w:r w:rsidR="006C7560" w:rsidRPr="00BD253F">
        <w:rPr>
          <w:sz w:val="24"/>
          <w:szCs w:val="24"/>
        </w:rPr>
        <w:t xml:space="preserve">capital market conditions in producing asset price cyclicality for </w:t>
      </w:r>
      <w:r w:rsidR="00CE7C0A">
        <w:rPr>
          <w:sz w:val="24"/>
          <w:szCs w:val="24"/>
        </w:rPr>
        <w:t>CRE</w:t>
      </w:r>
      <w:r w:rsidR="000547F5">
        <w:rPr>
          <w:sz w:val="24"/>
          <w:szCs w:val="24"/>
        </w:rPr>
        <w:t xml:space="preserve"> is given careful consideration</w:t>
      </w:r>
      <w:r w:rsidR="004C60B0">
        <w:rPr>
          <w:sz w:val="24"/>
          <w:szCs w:val="24"/>
        </w:rPr>
        <w:t xml:space="preserve">. </w:t>
      </w:r>
    </w:p>
    <w:p w:rsidR="004E7DF9" w:rsidRPr="00BD253F" w:rsidRDefault="006C7560" w:rsidP="000D3C5D">
      <w:pPr>
        <w:spacing w:line="480" w:lineRule="auto"/>
        <w:jc w:val="both"/>
        <w:rPr>
          <w:sz w:val="24"/>
          <w:szCs w:val="24"/>
        </w:rPr>
      </w:pPr>
      <w:r w:rsidRPr="00BD253F">
        <w:rPr>
          <w:sz w:val="24"/>
          <w:szCs w:val="24"/>
        </w:rPr>
        <w:tab/>
        <w:t>Capital markets include both debt and equity</w:t>
      </w:r>
      <w:r w:rsidR="004C60B0">
        <w:rPr>
          <w:sz w:val="24"/>
          <w:szCs w:val="24"/>
        </w:rPr>
        <w:t xml:space="preserve">. </w:t>
      </w:r>
      <w:r w:rsidRPr="00BD253F">
        <w:rPr>
          <w:sz w:val="24"/>
          <w:szCs w:val="24"/>
        </w:rPr>
        <w:t xml:space="preserve">The contribution of credit </w:t>
      </w:r>
      <w:r w:rsidR="00CB6324">
        <w:rPr>
          <w:sz w:val="24"/>
          <w:szCs w:val="24"/>
        </w:rPr>
        <w:t xml:space="preserve">policy </w:t>
      </w:r>
      <w:r w:rsidRPr="00BD253F">
        <w:rPr>
          <w:sz w:val="24"/>
          <w:szCs w:val="24"/>
        </w:rPr>
        <w:t>is the central focus of this study</w:t>
      </w:r>
      <w:r w:rsidR="004C60B0">
        <w:rPr>
          <w:sz w:val="24"/>
          <w:szCs w:val="24"/>
        </w:rPr>
        <w:t xml:space="preserve">. </w:t>
      </w:r>
      <w:r w:rsidRPr="00BD253F">
        <w:rPr>
          <w:sz w:val="24"/>
          <w:szCs w:val="24"/>
        </w:rPr>
        <w:t xml:space="preserve">The variable of interest is </w:t>
      </w:r>
      <w:r w:rsidR="0054598D">
        <w:rPr>
          <w:sz w:val="24"/>
          <w:szCs w:val="24"/>
        </w:rPr>
        <w:t xml:space="preserve">CRE </w:t>
      </w:r>
      <w:r w:rsidRPr="00BD253F">
        <w:rPr>
          <w:sz w:val="24"/>
          <w:szCs w:val="24"/>
        </w:rPr>
        <w:t>Tightening from the F</w:t>
      </w:r>
      <w:r w:rsidR="009B05EC" w:rsidRPr="00BD253F">
        <w:rPr>
          <w:sz w:val="24"/>
          <w:szCs w:val="24"/>
        </w:rPr>
        <w:t xml:space="preserve">ederal </w:t>
      </w:r>
      <w:r w:rsidRPr="00BD253F">
        <w:rPr>
          <w:sz w:val="24"/>
          <w:szCs w:val="24"/>
        </w:rPr>
        <w:t>R</w:t>
      </w:r>
      <w:r w:rsidR="009B05EC" w:rsidRPr="00BD253F">
        <w:rPr>
          <w:sz w:val="24"/>
          <w:szCs w:val="24"/>
        </w:rPr>
        <w:t xml:space="preserve">eserve </w:t>
      </w:r>
      <w:r w:rsidRPr="00BD253F">
        <w:rPr>
          <w:sz w:val="24"/>
          <w:szCs w:val="24"/>
        </w:rPr>
        <w:t>B</w:t>
      </w:r>
      <w:r w:rsidR="009B05EC" w:rsidRPr="00BD253F">
        <w:rPr>
          <w:sz w:val="24"/>
          <w:szCs w:val="24"/>
        </w:rPr>
        <w:t>oard</w:t>
      </w:r>
      <w:r w:rsidRPr="00BD253F">
        <w:rPr>
          <w:sz w:val="24"/>
          <w:szCs w:val="24"/>
        </w:rPr>
        <w:t>’s Senior Loan Officer</w:t>
      </w:r>
      <w:r w:rsidR="009B05EC" w:rsidRPr="00BD253F">
        <w:rPr>
          <w:sz w:val="24"/>
          <w:szCs w:val="24"/>
        </w:rPr>
        <w:t xml:space="preserve"> Opinion Survey on Bank Lending Practices</w:t>
      </w:r>
      <w:r w:rsidR="004C60B0">
        <w:rPr>
          <w:sz w:val="24"/>
          <w:szCs w:val="24"/>
        </w:rPr>
        <w:t xml:space="preserve">. </w:t>
      </w:r>
      <w:r w:rsidR="0054598D">
        <w:rPr>
          <w:sz w:val="24"/>
          <w:szCs w:val="24"/>
        </w:rPr>
        <w:t xml:space="preserve">CRE </w:t>
      </w:r>
      <w:r w:rsidR="009B05EC" w:rsidRPr="00BD253F">
        <w:rPr>
          <w:sz w:val="24"/>
          <w:szCs w:val="24"/>
        </w:rPr>
        <w:t xml:space="preserve">Tightening measures the net percentage of domestic banks reporting net tightening on standards for </w:t>
      </w:r>
      <w:r w:rsidR="00CE7C0A">
        <w:rPr>
          <w:sz w:val="24"/>
          <w:szCs w:val="24"/>
        </w:rPr>
        <w:t>CRE</w:t>
      </w:r>
      <w:r w:rsidR="009B05EC" w:rsidRPr="00BD253F">
        <w:rPr>
          <w:sz w:val="24"/>
          <w:szCs w:val="24"/>
        </w:rPr>
        <w:t xml:space="preserve"> loans</w:t>
      </w:r>
      <w:r w:rsidR="004C60B0">
        <w:rPr>
          <w:sz w:val="24"/>
          <w:szCs w:val="24"/>
        </w:rPr>
        <w:t xml:space="preserve">. </w:t>
      </w:r>
      <w:r w:rsidR="009B05EC" w:rsidRPr="00BD253F">
        <w:rPr>
          <w:sz w:val="24"/>
          <w:szCs w:val="24"/>
        </w:rPr>
        <w:t xml:space="preserve">The </w:t>
      </w:r>
      <w:r w:rsidR="00CE7C0A">
        <w:rPr>
          <w:sz w:val="24"/>
          <w:szCs w:val="24"/>
        </w:rPr>
        <w:t>CRE</w:t>
      </w:r>
      <w:r w:rsidR="009B05EC" w:rsidRPr="00BD253F">
        <w:rPr>
          <w:sz w:val="24"/>
          <w:szCs w:val="24"/>
        </w:rPr>
        <w:t xml:space="preserve"> Tightening measure is </w:t>
      </w:r>
      <w:r w:rsidRPr="00BD253F">
        <w:rPr>
          <w:sz w:val="24"/>
          <w:szCs w:val="24"/>
        </w:rPr>
        <w:t>reported at quarterly frequency from 1990Q3 thru 2014Q2</w:t>
      </w:r>
      <w:r w:rsidR="009B05EC" w:rsidRPr="00BD253F">
        <w:rPr>
          <w:sz w:val="24"/>
          <w:szCs w:val="24"/>
        </w:rPr>
        <w:t>, which represents the sample period for the analysis in this study [96 quarters]</w:t>
      </w:r>
      <w:r w:rsidR="004C60B0">
        <w:rPr>
          <w:sz w:val="24"/>
          <w:szCs w:val="24"/>
        </w:rPr>
        <w:t xml:space="preserve">. </w:t>
      </w:r>
      <w:r w:rsidR="0054598D">
        <w:rPr>
          <w:sz w:val="24"/>
          <w:szCs w:val="24"/>
        </w:rPr>
        <w:t>Overall, banks are net tightening during the sample</w:t>
      </w:r>
      <w:r w:rsidR="004C60B0">
        <w:rPr>
          <w:sz w:val="24"/>
          <w:szCs w:val="24"/>
        </w:rPr>
        <w:t xml:space="preserve">. </w:t>
      </w:r>
      <w:r w:rsidR="0054598D">
        <w:rPr>
          <w:sz w:val="24"/>
          <w:szCs w:val="24"/>
        </w:rPr>
        <w:t xml:space="preserve">The average share of banks net tightening </w:t>
      </w:r>
      <w:r w:rsidR="00DB4ECA">
        <w:rPr>
          <w:sz w:val="24"/>
          <w:szCs w:val="24"/>
        </w:rPr>
        <w:t xml:space="preserve">their </w:t>
      </w:r>
      <w:r w:rsidR="0054598D">
        <w:rPr>
          <w:sz w:val="24"/>
          <w:szCs w:val="24"/>
        </w:rPr>
        <w:t>lending standards in the CRE sector is 13.7 percent</w:t>
      </w:r>
      <w:r w:rsidR="004C60B0">
        <w:rPr>
          <w:sz w:val="24"/>
          <w:szCs w:val="24"/>
        </w:rPr>
        <w:t xml:space="preserve">. </w:t>
      </w:r>
      <w:r w:rsidR="0054598D">
        <w:rPr>
          <w:sz w:val="24"/>
          <w:szCs w:val="24"/>
        </w:rPr>
        <w:t>Yet, CRE lending policy is quite volatile and unsmooth with standard deviation 25.9 percent</w:t>
      </w:r>
      <w:r w:rsidR="00E873BA">
        <w:rPr>
          <w:sz w:val="24"/>
          <w:szCs w:val="24"/>
        </w:rPr>
        <w:t>;</w:t>
      </w:r>
      <w:r w:rsidR="0054598D">
        <w:rPr>
          <w:sz w:val="24"/>
          <w:szCs w:val="24"/>
        </w:rPr>
        <w:t xml:space="preserve"> values range from 23.7 percent of banks net loosening to 87 percent net tightening during the sample</w:t>
      </w:r>
      <w:r w:rsidR="004C60B0">
        <w:rPr>
          <w:sz w:val="24"/>
          <w:szCs w:val="24"/>
        </w:rPr>
        <w:t xml:space="preserve">. </w:t>
      </w:r>
      <w:r w:rsidR="009B05EC" w:rsidRPr="00BD253F">
        <w:rPr>
          <w:sz w:val="24"/>
          <w:szCs w:val="24"/>
        </w:rPr>
        <w:t xml:space="preserve">Figure 2 shows the pattern in Credit Tightening and </w:t>
      </w:r>
      <w:r w:rsidR="00C952FD">
        <w:rPr>
          <w:sz w:val="24"/>
          <w:szCs w:val="24"/>
        </w:rPr>
        <w:t xml:space="preserve">inverted </w:t>
      </w:r>
      <w:r w:rsidR="009B05EC" w:rsidRPr="00BD253F">
        <w:rPr>
          <w:sz w:val="24"/>
          <w:szCs w:val="24"/>
        </w:rPr>
        <w:t>Capital Gains for the sample period</w:t>
      </w:r>
      <w:r w:rsidR="004C60B0">
        <w:rPr>
          <w:sz w:val="24"/>
          <w:szCs w:val="24"/>
        </w:rPr>
        <w:t xml:space="preserve">. </w:t>
      </w:r>
      <w:r w:rsidR="00067770">
        <w:rPr>
          <w:sz w:val="24"/>
          <w:szCs w:val="24"/>
        </w:rPr>
        <w:t>The two series move in unison with CRE Tightening in the lead</w:t>
      </w:r>
      <w:r w:rsidR="004C60B0">
        <w:rPr>
          <w:sz w:val="24"/>
          <w:szCs w:val="24"/>
        </w:rPr>
        <w:t xml:space="preserve">. </w:t>
      </w:r>
      <w:r w:rsidR="00067770">
        <w:rPr>
          <w:sz w:val="24"/>
          <w:szCs w:val="24"/>
        </w:rPr>
        <w:t xml:space="preserve">Spikes in CRE Tightening are commonly followed soon after by sharp </w:t>
      </w:r>
      <w:r w:rsidR="00596934">
        <w:rPr>
          <w:sz w:val="24"/>
          <w:szCs w:val="24"/>
        </w:rPr>
        <w:t>declines in Capital Gains.</w:t>
      </w:r>
    </w:p>
    <w:p w:rsidR="00B35D43" w:rsidRDefault="00146E18" w:rsidP="000D3C5D">
      <w:pPr>
        <w:spacing w:line="480" w:lineRule="auto"/>
        <w:jc w:val="both"/>
        <w:rPr>
          <w:sz w:val="24"/>
          <w:szCs w:val="24"/>
        </w:rPr>
      </w:pPr>
      <w:r w:rsidRPr="00BD253F">
        <w:rPr>
          <w:sz w:val="24"/>
          <w:szCs w:val="24"/>
        </w:rPr>
        <w:tab/>
      </w:r>
      <w:r w:rsidR="0054598D">
        <w:rPr>
          <w:sz w:val="24"/>
          <w:szCs w:val="24"/>
        </w:rPr>
        <w:t>Wilcox (2012) comments that net tightening may not fully capture CRE underwriting standards and develops his own underwriting index as an alternative</w:t>
      </w:r>
      <w:r w:rsidR="00B35D43">
        <w:rPr>
          <w:sz w:val="24"/>
          <w:szCs w:val="24"/>
        </w:rPr>
        <w:t xml:space="preserve"> measure</w:t>
      </w:r>
      <w:r w:rsidR="004C60B0">
        <w:rPr>
          <w:sz w:val="24"/>
          <w:szCs w:val="24"/>
        </w:rPr>
        <w:t xml:space="preserve">. </w:t>
      </w:r>
      <w:r w:rsidR="00B35D43">
        <w:rPr>
          <w:sz w:val="24"/>
          <w:szCs w:val="24"/>
        </w:rPr>
        <w:t>In an attempt to address this concern, several other CRE mortgage</w:t>
      </w:r>
      <w:r w:rsidR="0054598D">
        <w:rPr>
          <w:sz w:val="24"/>
          <w:szCs w:val="24"/>
        </w:rPr>
        <w:t xml:space="preserve"> </w:t>
      </w:r>
      <w:r w:rsidR="00B35D43">
        <w:rPr>
          <w:sz w:val="24"/>
          <w:szCs w:val="24"/>
        </w:rPr>
        <w:t>condition measures are considered including Relative Tightening, CRE Mtg Flows, CRE Debt, and CRE Spread</w:t>
      </w:r>
      <w:r w:rsidR="004C60B0">
        <w:rPr>
          <w:sz w:val="24"/>
          <w:szCs w:val="24"/>
        </w:rPr>
        <w:t xml:space="preserve">. </w:t>
      </w:r>
      <w:r w:rsidR="00B35D43">
        <w:rPr>
          <w:sz w:val="24"/>
          <w:szCs w:val="24"/>
        </w:rPr>
        <w:t xml:space="preserve">Relative Tightening measures the difference between </w:t>
      </w:r>
      <w:r w:rsidR="00E873BA">
        <w:rPr>
          <w:sz w:val="24"/>
          <w:szCs w:val="24"/>
        </w:rPr>
        <w:t>net tightening to on commercial/industrial loans to large/</w:t>
      </w:r>
      <w:r w:rsidR="00B35D43">
        <w:rPr>
          <w:sz w:val="24"/>
          <w:szCs w:val="24"/>
        </w:rPr>
        <w:t>middle-market firms and net tightening in CRE lending standards</w:t>
      </w:r>
      <w:r w:rsidR="004C60B0">
        <w:rPr>
          <w:sz w:val="24"/>
          <w:szCs w:val="24"/>
        </w:rPr>
        <w:t xml:space="preserve">. </w:t>
      </w:r>
      <w:r w:rsidR="00B35D43">
        <w:rPr>
          <w:sz w:val="24"/>
          <w:szCs w:val="24"/>
        </w:rPr>
        <w:t>Relative Tightening attempts to isolate the component of changes in bank lending policy</w:t>
      </w:r>
      <w:r w:rsidR="00B8374F">
        <w:rPr>
          <w:sz w:val="24"/>
          <w:szCs w:val="24"/>
        </w:rPr>
        <w:t xml:space="preserve"> that is CRE sector-specific</w:t>
      </w:r>
      <w:r w:rsidR="004C60B0">
        <w:rPr>
          <w:sz w:val="24"/>
          <w:szCs w:val="24"/>
        </w:rPr>
        <w:t xml:space="preserve">. </w:t>
      </w:r>
      <w:r w:rsidR="00B35D43">
        <w:rPr>
          <w:sz w:val="24"/>
          <w:szCs w:val="24"/>
        </w:rPr>
        <w:t>Lending policy is increasingly restrictive relative to commercial loans during the sample, with average Relative Tightening at 7.7 percent for CRE lending over commercial loans.</w:t>
      </w:r>
    </w:p>
    <w:p w:rsidR="00B35D43" w:rsidRDefault="00B35D43" w:rsidP="000D3C5D">
      <w:pPr>
        <w:spacing w:line="480" w:lineRule="auto"/>
        <w:jc w:val="both"/>
        <w:rPr>
          <w:sz w:val="24"/>
          <w:szCs w:val="24"/>
        </w:rPr>
      </w:pPr>
      <w:r>
        <w:rPr>
          <w:sz w:val="24"/>
          <w:szCs w:val="24"/>
        </w:rPr>
        <w:tab/>
        <w:t>Another possible issue with the CRE Tightening measure is that it is based on survey responses and does not directly measure a quantity of loans approved in the CRE market</w:t>
      </w:r>
      <w:r w:rsidR="004C60B0">
        <w:rPr>
          <w:sz w:val="24"/>
          <w:szCs w:val="24"/>
        </w:rPr>
        <w:t xml:space="preserve">. </w:t>
      </w:r>
      <w:r>
        <w:rPr>
          <w:sz w:val="24"/>
          <w:szCs w:val="24"/>
        </w:rPr>
        <w:t xml:space="preserve">CRE </w:t>
      </w:r>
      <w:r w:rsidR="00C109D9">
        <w:rPr>
          <w:sz w:val="24"/>
          <w:szCs w:val="24"/>
        </w:rPr>
        <w:t>M</w:t>
      </w:r>
      <w:r>
        <w:rPr>
          <w:sz w:val="24"/>
          <w:szCs w:val="24"/>
        </w:rPr>
        <w:t>tg Flows provides such a measure, based on Flow of Funds data from the Federal Reserve</w:t>
      </w:r>
      <w:r w:rsidR="004C60B0">
        <w:rPr>
          <w:sz w:val="24"/>
          <w:szCs w:val="24"/>
        </w:rPr>
        <w:t xml:space="preserve">. </w:t>
      </w:r>
      <w:r>
        <w:rPr>
          <w:sz w:val="24"/>
          <w:szCs w:val="24"/>
        </w:rPr>
        <w:t>CRE Mtg Flows measures the percentage change in CRE mortgage originations from the prior quarter</w:t>
      </w:r>
      <w:r w:rsidR="004C60B0">
        <w:rPr>
          <w:sz w:val="24"/>
          <w:szCs w:val="24"/>
        </w:rPr>
        <w:t xml:space="preserve">. </w:t>
      </w:r>
      <w:r>
        <w:rPr>
          <w:sz w:val="24"/>
          <w:szCs w:val="24"/>
        </w:rPr>
        <w:t>Average CRE Mtg Flows are increasing 1.1 percent per quarter, but rise by as much as 6 percent at the peak</w:t>
      </w:r>
      <w:r w:rsidR="004C60B0">
        <w:rPr>
          <w:sz w:val="24"/>
          <w:szCs w:val="24"/>
        </w:rPr>
        <w:t xml:space="preserve">. </w:t>
      </w:r>
      <w:r>
        <w:rPr>
          <w:sz w:val="24"/>
          <w:szCs w:val="24"/>
        </w:rPr>
        <w:t>Another direct measure for CRE lending is total CRE Debt, which accounts for the total outstanding balance of CRE mortgage debt – scaled by GDP</w:t>
      </w:r>
      <w:r w:rsidR="004C60B0">
        <w:rPr>
          <w:sz w:val="24"/>
          <w:szCs w:val="24"/>
        </w:rPr>
        <w:t xml:space="preserve">. </w:t>
      </w:r>
      <w:r w:rsidR="008264B3">
        <w:rPr>
          <w:sz w:val="24"/>
          <w:szCs w:val="24"/>
        </w:rPr>
        <w:t>CRE Debt ranges from 9 percent to 18 percent of GDP during the sample.</w:t>
      </w:r>
      <w:r>
        <w:rPr>
          <w:sz w:val="24"/>
          <w:szCs w:val="24"/>
        </w:rPr>
        <w:t xml:space="preserve"> </w:t>
      </w:r>
    </w:p>
    <w:p w:rsidR="00921135" w:rsidRDefault="00712E84" w:rsidP="000D3C5D">
      <w:pPr>
        <w:spacing w:line="480" w:lineRule="auto"/>
        <w:jc w:val="both"/>
        <w:rPr>
          <w:sz w:val="24"/>
          <w:szCs w:val="24"/>
        </w:rPr>
      </w:pPr>
      <w:r>
        <w:rPr>
          <w:sz w:val="24"/>
          <w:szCs w:val="24"/>
        </w:rPr>
        <w:tab/>
        <w:t>Mortgage pricing, or yields, are also relevant to asset prices (in addition to mortgage quantities)</w:t>
      </w:r>
      <w:r w:rsidR="004C60B0">
        <w:rPr>
          <w:sz w:val="24"/>
          <w:szCs w:val="24"/>
        </w:rPr>
        <w:t xml:space="preserve">. </w:t>
      </w:r>
      <w:r>
        <w:rPr>
          <w:sz w:val="24"/>
          <w:szCs w:val="24"/>
        </w:rPr>
        <w:t>CRE Spread measures the difference between NCREIF cap rates and yields on 10-year Treasuries</w:t>
      </w:r>
      <w:r w:rsidR="004C60B0">
        <w:rPr>
          <w:sz w:val="24"/>
          <w:szCs w:val="24"/>
        </w:rPr>
        <w:t xml:space="preserve">. </w:t>
      </w:r>
      <w:r>
        <w:rPr>
          <w:sz w:val="24"/>
          <w:szCs w:val="24"/>
        </w:rPr>
        <w:t>The CRE Spread measure is included in the Cleveland Financial Stress Index</w:t>
      </w:r>
      <w:r w:rsidR="004C60B0">
        <w:rPr>
          <w:sz w:val="24"/>
          <w:szCs w:val="24"/>
        </w:rPr>
        <w:t xml:space="preserve">. </w:t>
      </w:r>
      <w:r w:rsidR="003E79AA">
        <w:rPr>
          <w:sz w:val="24"/>
          <w:szCs w:val="24"/>
        </w:rPr>
        <w:t>During the sample period, the risk-free interest rate (R</w:t>
      </w:r>
      <w:r w:rsidR="003E79AA" w:rsidRPr="003E79AA">
        <w:rPr>
          <w:sz w:val="24"/>
          <w:szCs w:val="24"/>
          <w:vertAlign w:val="subscript"/>
        </w:rPr>
        <w:t>F</w:t>
      </w:r>
      <w:r w:rsidR="003E79AA">
        <w:rPr>
          <w:sz w:val="24"/>
          <w:szCs w:val="24"/>
        </w:rPr>
        <w:t>) is very low and experiences little volatility, while yields on Baa-rated bonds are more closely related to CRE cap rates</w:t>
      </w:r>
      <w:r w:rsidR="004C60B0">
        <w:rPr>
          <w:sz w:val="24"/>
          <w:szCs w:val="24"/>
        </w:rPr>
        <w:t xml:space="preserve">. </w:t>
      </w:r>
      <w:r w:rsidR="003E79AA">
        <w:rPr>
          <w:sz w:val="24"/>
          <w:szCs w:val="24"/>
        </w:rPr>
        <w:t>The pattern is shown in Figure 3, along with CRE debt levels</w:t>
      </w:r>
      <w:r w:rsidR="004C60B0">
        <w:rPr>
          <w:sz w:val="24"/>
          <w:szCs w:val="24"/>
        </w:rPr>
        <w:t xml:space="preserve">. </w:t>
      </w:r>
      <w:r w:rsidR="003E79AA">
        <w:rPr>
          <w:sz w:val="24"/>
          <w:szCs w:val="24"/>
        </w:rPr>
        <w:t>Accordingly, the Baa rate is used as the baseline yield in place of the risk-free rate in estimations where exogenous factors are included</w:t>
      </w:r>
      <w:r w:rsidR="004C60B0">
        <w:rPr>
          <w:sz w:val="24"/>
          <w:szCs w:val="24"/>
        </w:rPr>
        <w:t xml:space="preserve">. </w:t>
      </w:r>
      <w:r w:rsidR="003E79AA">
        <w:rPr>
          <w:sz w:val="24"/>
          <w:szCs w:val="24"/>
        </w:rPr>
        <w:t>Otherwise, the set of exogenous factors is largely consistent with that of Ling, Naranjo and Scheick (2014), including the Fama-French three factors, collected from Professor French’s w</w:t>
      </w:r>
      <w:r w:rsidR="00881B63">
        <w:rPr>
          <w:sz w:val="24"/>
          <w:szCs w:val="24"/>
        </w:rPr>
        <w:t>ebsite: the market risk premium</w:t>
      </w:r>
      <w:r w:rsidR="003E79AA">
        <w:rPr>
          <w:sz w:val="24"/>
          <w:szCs w:val="24"/>
        </w:rPr>
        <w:t xml:space="preserve"> (R</w:t>
      </w:r>
      <w:r w:rsidR="003E79AA" w:rsidRPr="00BD253F">
        <w:rPr>
          <w:sz w:val="24"/>
          <w:szCs w:val="24"/>
          <w:vertAlign w:val="subscript"/>
        </w:rPr>
        <w:t>M</w:t>
      </w:r>
      <w:r w:rsidR="003E79AA">
        <w:rPr>
          <w:sz w:val="24"/>
          <w:szCs w:val="24"/>
        </w:rPr>
        <w:t xml:space="preserve"> – R</w:t>
      </w:r>
      <w:r w:rsidR="003E79AA" w:rsidRPr="00BD253F">
        <w:rPr>
          <w:sz w:val="24"/>
          <w:szCs w:val="24"/>
          <w:vertAlign w:val="subscript"/>
        </w:rPr>
        <w:t>F</w:t>
      </w:r>
      <w:r w:rsidR="003E79AA">
        <w:rPr>
          <w:sz w:val="24"/>
          <w:szCs w:val="24"/>
        </w:rPr>
        <w:t>), high-minus-low (HML), and small-minus-big (SMB); the credit spread (Baa</w:t>
      </w:r>
      <w:r w:rsidR="00881B63">
        <w:rPr>
          <w:sz w:val="24"/>
          <w:szCs w:val="24"/>
        </w:rPr>
        <w:t xml:space="preserve"> – Aaa), and the term structure (10yr – 1yr) </w:t>
      </w:r>
      <w:r w:rsidR="003E79AA">
        <w:rPr>
          <w:sz w:val="24"/>
          <w:szCs w:val="24"/>
        </w:rPr>
        <w:t>from the Federal Reserve’s Selected Interest Rates series</w:t>
      </w:r>
      <w:r w:rsidR="004C60B0">
        <w:rPr>
          <w:sz w:val="24"/>
          <w:szCs w:val="24"/>
        </w:rPr>
        <w:t xml:space="preserve">. </w:t>
      </w:r>
      <w:r w:rsidR="001B459C">
        <w:rPr>
          <w:sz w:val="24"/>
          <w:szCs w:val="24"/>
        </w:rPr>
        <w:t xml:space="preserve">Apart from </w:t>
      </w:r>
      <w:r w:rsidR="007746B2">
        <w:rPr>
          <w:sz w:val="24"/>
          <w:szCs w:val="24"/>
        </w:rPr>
        <w:t xml:space="preserve">presentation of </w:t>
      </w:r>
      <w:r w:rsidR="001B459C">
        <w:rPr>
          <w:sz w:val="24"/>
          <w:szCs w:val="24"/>
        </w:rPr>
        <w:t>summary statistics in Table 1, all variables are standardized with zero mean and unit standard deviation to limit issues with comparing effects after modeling for variables that have different ranges or units of measure</w:t>
      </w:r>
      <w:r w:rsidR="004C60B0">
        <w:rPr>
          <w:sz w:val="24"/>
          <w:szCs w:val="24"/>
        </w:rPr>
        <w:t xml:space="preserve">. </w:t>
      </w:r>
    </w:p>
    <w:p w:rsidR="003E79AA" w:rsidRDefault="00B07DA4" w:rsidP="000D3C5D">
      <w:pPr>
        <w:spacing w:line="480" w:lineRule="auto"/>
        <w:jc w:val="both"/>
        <w:rPr>
          <w:sz w:val="24"/>
          <w:szCs w:val="24"/>
        </w:rPr>
      </w:pPr>
      <w:r>
        <w:rPr>
          <w:sz w:val="24"/>
          <w:szCs w:val="24"/>
        </w:rPr>
        <w:tab/>
        <w:t>The empirical approach considers that Income Returns, Capital Gains, Volume</w:t>
      </w:r>
      <w:r w:rsidR="001B459C">
        <w:rPr>
          <w:sz w:val="24"/>
          <w:szCs w:val="24"/>
        </w:rPr>
        <w:t xml:space="preserve"> (transactions)</w:t>
      </w:r>
      <w:r w:rsidR="00E873BA">
        <w:rPr>
          <w:sz w:val="24"/>
          <w:szCs w:val="24"/>
        </w:rPr>
        <w:t>,</w:t>
      </w:r>
      <w:r>
        <w:rPr>
          <w:sz w:val="24"/>
          <w:szCs w:val="24"/>
        </w:rPr>
        <w:t xml:space="preserve"> and Credit Tightening </w:t>
      </w:r>
      <w:r w:rsidR="005926F0">
        <w:rPr>
          <w:sz w:val="24"/>
          <w:szCs w:val="24"/>
        </w:rPr>
        <w:t xml:space="preserve">are mutually </w:t>
      </w:r>
      <w:r>
        <w:rPr>
          <w:sz w:val="24"/>
          <w:szCs w:val="24"/>
        </w:rPr>
        <w:t xml:space="preserve">endogenous </w:t>
      </w:r>
      <w:r w:rsidR="003E79AA">
        <w:rPr>
          <w:sz w:val="24"/>
          <w:szCs w:val="24"/>
        </w:rPr>
        <w:t xml:space="preserve">CRE </w:t>
      </w:r>
      <w:r>
        <w:rPr>
          <w:sz w:val="24"/>
          <w:szCs w:val="24"/>
        </w:rPr>
        <w:t>variables</w:t>
      </w:r>
      <w:r w:rsidR="004C60B0">
        <w:rPr>
          <w:sz w:val="24"/>
          <w:szCs w:val="24"/>
        </w:rPr>
        <w:t xml:space="preserve">. </w:t>
      </w:r>
      <w:r w:rsidR="003E79AA">
        <w:rPr>
          <w:sz w:val="24"/>
          <w:szCs w:val="24"/>
        </w:rPr>
        <w:t>To determine the appropriate methodology, the four variables are evaluated for issues that are prevalent in time series data</w:t>
      </w:r>
      <w:r w:rsidR="004C60B0">
        <w:rPr>
          <w:sz w:val="24"/>
          <w:szCs w:val="24"/>
        </w:rPr>
        <w:t xml:space="preserve">. </w:t>
      </w:r>
      <w:r w:rsidR="003E79AA">
        <w:rPr>
          <w:sz w:val="24"/>
          <w:szCs w:val="24"/>
        </w:rPr>
        <w:t>Results from the time series due diligence tests are reported in Table 2</w:t>
      </w:r>
      <w:r w:rsidR="004C60B0">
        <w:rPr>
          <w:sz w:val="24"/>
          <w:szCs w:val="24"/>
        </w:rPr>
        <w:t xml:space="preserve">. </w:t>
      </w:r>
      <w:r w:rsidR="00723C6C">
        <w:rPr>
          <w:sz w:val="24"/>
          <w:szCs w:val="24"/>
        </w:rPr>
        <w:t>In Panel A, all four series are non-stationary</w:t>
      </w:r>
      <w:r w:rsidR="004C60B0">
        <w:rPr>
          <w:sz w:val="24"/>
          <w:szCs w:val="24"/>
        </w:rPr>
        <w:t xml:space="preserve">. </w:t>
      </w:r>
      <w:r w:rsidR="00723C6C">
        <w:rPr>
          <w:sz w:val="24"/>
          <w:szCs w:val="24"/>
        </w:rPr>
        <w:t xml:space="preserve">In Panel B, three subsets of endogenous variables are tested for cointegration. The set {Income Returns, Capital Gains, CRE Tightening, Volume} </w:t>
      </w:r>
      <w:r w:rsidR="006458A3">
        <w:rPr>
          <w:sz w:val="24"/>
          <w:szCs w:val="24"/>
        </w:rPr>
        <w:t>has</w:t>
      </w:r>
      <w:r w:rsidR="005C5FE6">
        <w:rPr>
          <w:sz w:val="24"/>
          <w:szCs w:val="24"/>
        </w:rPr>
        <w:t xml:space="preserve"> two cointegrating vectors</w:t>
      </w:r>
      <w:r w:rsidR="004C60B0">
        <w:rPr>
          <w:sz w:val="24"/>
          <w:szCs w:val="24"/>
        </w:rPr>
        <w:t xml:space="preserve">. </w:t>
      </w:r>
      <w:r w:rsidR="005C5FE6">
        <w:rPr>
          <w:sz w:val="24"/>
          <w:szCs w:val="24"/>
        </w:rPr>
        <w:t xml:space="preserve">The sets {Income Returns, Capital Gains, CRE Tightening} and {Income Returns, Capital Gains} </w:t>
      </w:r>
      <w:r w:rsidR="00430702">
        <w:rPr>
          <w:sz w:val="24"/>
          <w:szCs w:val="24"/>
        </w:rPr>
        <w:t xml:space="preserve">each </w:t>
      </w:r>
      <w:r w:rsidR="005C5FE6">
        <w:rPr>
          <w:sz w:val="24"/>
          <w:szCs w:val="24"/>
        </w:rPr>
        <w:t>have a single cointegrating vector – suggesting that an error correction model may be appropriate</w:t>
      </w:r>
      <w:r w:rsidR="004C60B0">
        <w:rPr>
          <w:sz w:val="24"/>
          <w:szCs w:val="24"/>
        </w:rPr>
        <w:t xml:space="preserve">. </w:t>
      </w:r>
      <w:r w:rsidR="005C5FE6">
        <w:rPr>
          <w:sz w:val="24"/>
          <w:szCs w:val="24"/>
        </w:rPr>
        <w:t>In Panel C, all four variables are rejected for weak exogeneity when tested against the various subsets of remaining variables</w:t>
      </w:r>
      <w:r w:rsidR="004C60B0">
        <w:rPr>
          <w:sz w:val="24"/>
          <w:szCs w:val="24"/>
        </w:rPr>
        <w:t xml:space="preserve">. </w:t>
      </w:r>
      <w:r w:rsidR="005C5FE6">
        <w:rPr>
          <w:sz w:val="24"/>
          <w:szCs w:val="24"/>
        </w:rPr>
        <w:t xml:space="preserve">In Panel D, </w:t>
      </w:r>
      <w:r w:rsidR="00552518">
        <w:rPr>
          <w:sz w:val="24"/>
          <w:szCs w:val="24"/>
        </w:rPr>
        <w:t xml:space="preserve">it can be rejected that </w:t>
      </w:r>
      <w:r w:rsidR="00EF50DD">
        <w:rPr>
          <w:sz w:val="24"/>
          <w:szCs w:val="24"/>
        </w:rPr>
        <w:t xml:space="preserve">each of the four endogenous variables </w:t>
      </w:r>
      <w:r w:rsidR="00552518">
        <w:rPr>
          <w:sz w:val="24"/>
          <w:szCs w:val="24"/>
        </w:rPr>
        <w:t>causes, while not being caused by,</w:t>
      </w:r>
      <w:r w:rsidR="00EF50DD">
        <w:rPr>
          <w:sz w:val="24"/>
          <w:szCs w:val="24"/>
        </w:rPr>
        <w:t xml:space="preserve"> subsets of the remaining variables with one exception: Income Returns do not cause Capital Gains when considered in isolation.</w:t>
      </w:r>
    </w:p>
    <w:p w:rsidR="002B316A" w:rsidRDefault="002B316A" w:rsidP="000D3C5D">
      <w:pPr>
        <w:spacing w:line="480" w:lineRule="auto"/>
        <w:jc w:val="both"/>
        <w:rPr>
          <w:sz w:val="24"/>
          <w:szCs w:val="24"/>
        </w:rPr>
      </w:pPr>
      <w:r>
        <w:rPr>
          <w:sz w:val="24"/>
          <w:szCs w:val="24"/>
        </w:rPr>
        <w:tab/>
      </w:r>
      <w:r w:rsidR="00B82A6B">
        <w:rPr>
          <w:sz w:val="24"/>
          <w:szCs w:val="24"/>
        </w:rPr>
        <w:t>In light of the time series due diligence, the empirical analysis considers three models – with varying econometric tradeoffs involved</w:t>
      </w:r>
      <w:r w:rsidR="004C60B0">
        <w:rPr>
          <w:sz w:val="24"/>
          <w:szCs w:val="24"/>
        </w:rPr>
        <w:t xml:space="preserve">. </w:t>
      </w:r>
      <w:r w:rsidR="00B82A6B">
        <w:rPr>
          <w:sz w:val="24"/>
          <w:szCs w:val="24"/>
        </w:rPr>
        <w:t>Each model considers variables lagged one period, due to the quarterly nature of the data and to provide consistency in model comparison. Two versions of each model are estimated: one includes endogenous variables only; the second includes a set of six exogenous controls</w:t>
      </w:r>
      <w:r w:rsidR="004C60B0">
        <w:rPr>
          <w:sz w:val="24"/>
          <w:szCs w:val="24"/>
        </w:rPr>
        <w:t xml:space="preserve">. </w:t>
      </w:r>
      <w:r w:rsidR="00B82A6B">
        <w:rPr>
          <w:sz w:val="24"/>
          <w:szCs w:val="24"/>
        </w:rPr>
        <w:t>The exogenous controls are the Baa rate, (R</w:t>
      </w:r>
      <w:r w:rsidR="00B82A6B" w:rsidRPr="00487821">
        <w:rPr>
          <w:sz w:val="24"/>
          <w:szCs w:val="24"/>
          <w:vertAlign w:val="subscript"/>
        </w:rPr>
        <w:t>M</w:t>
      </w:r>
      <w:r w:rsidR="00B82A6B">
        <w:rPr>
          <w:sz w:val="24"/>
          <w:szCs w:val="24"/>
        </w:rPr>
        <w:t xml:space="preserve"> – R</w:t>
      </w:r>
      <w:r w:rsidR="00B82A6B" w:rsidRPr="00487821">
        <w:rPr>
          <w:sz w:val="24"/>
          <w:szCs w:val="24"/>
          <w:vertAlign w:val="subscript"/>
        </w:rPr>
        <w:t>F</w:t>
      </w:r>
      <w:r w:rsidR="00B82A6B">
        <w:rPr>
          <w:sz w:val="24"/>
          <w:szCs w:val="24"/>
        </w:rPr>
        <w:t>), HML, SMB, (Baa – Aaa), and (</w:t>
      </w:r>
      <w:r w:rsidR="00487821">
        <w:rPr>
          <w:sz w:val="24"/>
          <w:szCs w:val="24"/>
        </w:rPr>
        <w:t xml:space="preserve">10yr – 1yr). </w:t>
      </w:r>
    </w:p>
    <w:p w:rsidR="002F2141" w:rsidRDefault="00487821" w:rsidP="000D3C5D">
      <w:pPr>
        <w:spacing w:line="480" w:lineRule="auto"/>
        <w:jc w:val="both"/>
        <w:rPr>
          <w:sz w:val="24"/>
          <w:szCs w:val="24"/>
        </w:rPr>
      </w:pPr>
      <w:r>
        <w:rPr>
          <w:sz w:val="24"/>
          <w:szCs w:val="24"/>
        </w:rPr>
        <w:tab/>
        <w:t xml:space="preserve">The first model is </w:t>
      </w:r>
      <w:r w:rsidR="002F2141">
        <w:rPr>
          <w:sz w:val="24"/>
          <w:szCs w:val="24"/>
        </w:rPr>
        <w:t>the vector</w:t>
      </w:r>
      <w:r>
        <w:rPr>
          <w:sz w:val="24"/>
          <w:szCs w:val="24"/>
        </w:rPr>
        <w:t xml:space="preserve"> error correction model</w:t>
      </w:r>
      <w:r w:rsidR="002F2141">
        <w:rPr>
          <w:sz w:val="24"/>
          <w:szCs w:val="24"/>
        </w:rPr>
        <w:t xml:space="preserve"> (VECM)</w:t>
      </w:r>
      <w:r>
        <w:rPr>
          <w:sz w:val="24"/>
          <w:szCs w:val="24"/>
        </w:rPr>
        <w:t>, evaluating Income Returns, Capital Gains, and CRE Tightening as endogenous</w:t>
      </w:r>
      <w:r w:rsidR="004C60B0">
        <w:rPr>
          <w:sz w:val="24"/>
          <w:szCs w:val="24"/>
        </w:rPr>
        <w:t xml:space="preserve">. </w:t>
      </w:r>
      <w:r w:rsidR="00F806C2">
        <w:rPr>
          <w:sz w:val="24"/>
          <w:szCs w:val="24"/>
        </w:rPr>
        <w:t>When two or mo</w:t>
      </w:r>
      <w:r w:rsidR="003E3694">
        <w:rPr>
          <w:sz w:val="24"/>
          <w:szCs w:val="24"/>
        </w:rPr>
        <w:t>re variables are non-stationary</w:t>
      </w:r>
      <w:r w:rsidR="00F806C2">
        <w:rPr>
          <w:sz w:val="24"/>
          <w:szCs w:val="24"/>
        </w:rPr>
        <w:t xml:space="preserve"> they may be cointegrated and share a common stochastic trend</w:t>
      </w:r>
      <w:r w:rsidR="004C60B0">
        <w:rPr>
          <w:sz w:val="24"/>
          <w:szCs w:val="24"/>
        </w:rPr>
        <w:t xml:space="preserve">. </w:t>
      </w:r>
      <w:r w:rsidR="00693DD2">
        <w:rPr>
          <w:sz w:val="24"/>
          <w:szCs w:val="24"/>
        </w:rPr>
        <w:t xml:space="preserve">The two-stage VECM may be appropriate when there is </w:t>
      </w:r>
      <w:r w:rsidR="00881B63">
        <w:rPr>
          <w:sz w:val="24"/>
          <w:szCs w:val="24"/>
        </w:rPr>
        <w:t xml:space="preserve">only one </w:t>
      </w:r>
      <w:r w:rsidR="00693DD2">
        <w:rPr>
          <w:sz w:val="24"/>
          <w:szCs w:val="24"/>
        </w:rPr>
        <w:t>cointegrating vector (as evidence</w:t>
      </w:r>
      <w:r w:rsidR="002D357D">
        <w:rPr>
          <w:sz w:val="24"/>
          <w:szCs w:val="24"/>
        </w:rPr>
        <w:t>d for the</w:t>
      </w:r>
      <w:r w:rsidR="00693DD2">
        <w:rPr>
          <w:sz w:val="24"/>
          <w:szCs w:val="24"/>
        </w:rPr>
        <w:t xml:space="preserve"> set of variables in time series due diligence), leading to </w:t>
      </w:r>
      <w:r w:rsidR="00881B63">
        <w:rPr>
          <w:sz w:val="24"/>
          <w:szCs w:val="24"/>
        </w:rPr>
        <w:t xml:space="preserve">a single </w:t>
      </w:r>
      <w:r w:rsidR="00693DD2">
        <w:rPr>
          <w:sz w:val="24"/>
          <w:szCs w:val="24"/>
        </w:rPr>
        <w:t>error correction term</w:t>
      </w:r>
      <w:r w:rsidR="004C60B0">
        <w:rPr>
          <w:sz w:val="24"/>
          <w:szCs w:val="24"/>
        </w:rPr>
        <w:t xml:space="preserve">. </w:t>
      </w:r>
      <w:r w:rsidR="00693DD2">
        <w:rPr>
          <w:sz w:val="24"/>
          <w:szCs w:val="24"/>
        </w:rPr>
        <w:t>The VECM has the advantage of embedding short-run dynamics and long-run equilibrium in two stages</w:t>
      </w:r>
      <w:r w:rsidR="004C60B0">
        <w:rPr>
          <w:sz w:val="24"/>
          <w:szCs w:val="24"/>
        </w:rPr>
        <w:t xml:space="preserve">. </w:t>
      </w:r>
    </w:p>
    <w:p w:rsidR="00B50F5C" w:rsidRDefault="00C109D9" w:rsidP="000D3C5D">
      <w:pPr>
        <w:spacing w:line="480" w:lineRule="auto"/>
        <w:jc w:val="both"/>
        <w:rPr>
          <w:sz w:val="24"/>
          <w:szCs w:val="24"/>
        </w:rPr>
      </w:pPr>
      <w:r>
        <w:rPr>
          <w:sz w:val="24"/>
          <w:szCs w:val="24"/>
        </w:rPr>
        <w:tab/>
        <w:t xml:space="preserve">When there is evidence of more than one cointegrating vector, </w:t>
      </w:r>
      <w:r w:rsidRPr="00C109D9">
        <w:rPr>
          <w:sz w:val="24"/>
          <w:szCs w:val="24"/>
        </w:rPr>
        <w:t>v</w:t>
      </w:r>
      <w:r w:rsidR="00B50F5C" w:rsidRPr="00C109D9">
        <w:rPr>
          <w:sz w:val="24"/>
          <w:szCs w:val="24"/>
        </w:rPr>
        <w:t>ector autoregre</w:t>
      </w:r>
      <w:r>
        <w:rPr>
          <w:sz w:val="24"/>
          <w:szCs w:val="24"/>
        </w:rPr>
        <w:t xml:space="preserve">ssive (VAR) modeling can be </w:t>
      </w:r>
      <w:r w:rsidR="00B50F5C" w:rsidRPr="00C109D9">
        <w:rPr>
          <w:sz w:val="24"/>
          <w:szCs w:val="24"/>
        </w:rPr>
        <w:t xml:space="preserve">applied to </w:t>
      </w:r>
      <w:r w:rsidR="005926F0" w:rsidRPr="00C109D9">
        <w:rPr>
          <w:sz w:val="24"/>
          <w:szCs w:val="24"/>
        </w:rPr>
        <w:t xml:space="preserve">capture the dynamic </w:t>
      </w:r>
      <w:r w:rsidR="005926F0">
        <w:rPr>
          <w:sz w:val="24"/>
          <w:szCs w:val="24"/>
        </w:rPr>
        <w:t xml:space="preserve">linkages among the set of </w:t>
      </w:r>
      <w:r w:rsidR="00B50F5C">
        <w:rPr>
          <w:sz w:val="24"/>
          <w:szCs w:val="24"/>
        </w:rPr>
        <w:t>variable</w:t>
      </w:r>
      <w:r w:rsidR="005926F0">
        <w:rPr>
          <w:sz w:val="24"/>
          <w:szCs w:val="24"/>
        </w:rPr>
        <w:t>s</w:t>
      </w:r>
      <w:r w:rsidR="004C60B0">
        <w:rPr>
          <w:sz w:val="24"/>
          <w:szCs w:val="24"/>
        </w:rPr>
        <w:t xml:space="preserve">. </w:t>
      </w:r>
      <w:r>
        <w:rPr>
          <w:sz w:val="24"/>
          <w:szCs w:val="24"/>
        </w:rPr>
        <w:t>VAR modeling does not require the same set of restrictions on underlying parameters as VECM</w:t>
      </w:r>
      <w:r w:rsidR="004C60B0">
        <w:rPr>
          <w:sz w:val="24"/>
          <w:szCs w:val="24"/>
        </w:rPr>
        <w:t xml:space="preserve">. </w:t>
      </w:r>
      <w:r w:rsidR="00B50F5C">
        <w:rPr>
          <w:sz w:val="24"/>
          <w:szCs w:val="24"/>
        </w:rPr>
        <w:t xml:space="preserve">Ordering of endogenous variables in the </w:t>
      </w:r>
      <w:r w:rsidR="005926F0">
        <w:rPr>
          <w:sz w:val="24"/>
          <w:szCs w:val="24"/>
        </w:rPr>
        <w:t xml:space="preserve">VAR </w:t>
      </w:r>
      <w:r w:rsidR="00F13625">
        <w:rPr>
          <w:sz w:val="24"/>
          <w:szCs w:val="24"/>
        </w:rPr>
        <w:t xml:space="preserve">system of equations </w:t>
      </w:r>
      <w:r w:rsidR="005926F0">
        <w:rPr>
          <w:sz w:val="24"/>
          <w:szCs w:val="24"/>
        </w:rPr>
        <w:t>may affect the empirical outcome</w:t>
      </w:r>
      <w:r w:rsidR="004C60B0">
        <w:rPr>
          <w:sz w:val="24"/>
          <w:szCs w:val="24"/>
        </w:rPr>
        <w:t xml:space="preserve">. </w:t>
      </w:r>
      <w:r w:rsidR="00F13625">
        <w:rPr>
          <w:sz w:val="24"/>
          <w:szCs w:val="24"/>
        </w:rPr>
        <w:t xml:space="preserve">In this study, the effects in a given quarter are assumed to hold the following </w:t>
      </w:r>
      <w:r w:rsidR="00482512">
        <w:rPr>
          <w:sz w:val="24"/>
          <w:szCs w:val="24"/>
        </w:rPr>
        <w:t xml:space="preserve">sequential </w:t>
      </w:r>
      <w:r w:rsidR="00F13625">
        <w:rPr>
          <w:sz w:val="24"/>
          <w:szCs w:val="24"/>
        </w:rPr>
        <w:t>order: Income Returns, Credit Tightening, Volume, Capital Gains</w:t>
      </w:r>
      <w:r w:rsidR="004C60B0">
        <w:rPr>
          <w:sz w:val="24"/>
          <w:szCs w:val="24"/>
        </w:rPr>
        <w:t xml:space="preserve">. </w:t>
      </w:r>
      <w:r w:rsidR="00F13625">
        <w:rPr>
          <w:sz w:val="24"/>
          <w:szCs w:val="24"/>
        </w:rPr>
        <w:t>Income Returns from the property market are observed first</w:t>
      </w:r>
      <w:r w:rsidR="004C60B0">
        <w:rPr>
          <w:sz w:val="24"/>
          <w:szCs w:val="24"/>
        </w:rPr>
        <w:t xml:space="preserve">. </w:t>
      </w:r>
      <w:r w:rsidR="00F13625">
        <w:rPr>
          <w:sz w:val="24"/>
          <w:szCs w:val="24"/>
        </w:rPr>
        <w:t>Credit Tightening can then be adjusted based on information about the property market fundamentals</w:t>
      </w:r>
      <w:r w:rsidR="004C60B0">
        <w:rPr>
          <w:sz w:val="24"/>
          <w:szCs w:val="24"/>
        </w:rPr>
        <w:t xml:space="preserve">. </w:t>
      </w:r>
      <w:r w:rsidR="00F13625">
        <w:rPr>
          <w:sz w:val="24"/>
          <w:szCs w:val="24"/>
        </w:rPr>
        <w:t>Quarterly transaction Volume is affected by the degree of Credit Tightening</w:t>
      </w:r>
      <w:r w:rsidR="004C60B0">
        <w:rPr>
          <w:sz w:val="24"/>
          <w:szCs w:val="24"/>
        </w:rPr>
        <w:t xml:space="preserve">. </w:t>
      </w:r>
      <w:r w:rsidR="00F13625">
        <w:rPr>
          <w:sz w:val="24"/>
          <w:szCs w:val="24"/>
        </w:rPr>
        <w:t xml:space="preserve">Finally, Capital Gains are realized as a consequence of all of the above, including shifts in Income Returns making asset yields more or less attractive, Credit Tightening impacting levered returns and Volume, then Volume directly affecting Capital Gains due to the highly illiquid nature of </w:t>
      </w:r>
      <w:r w:rsidR="00CE7C0A">
        <w:rPr>
          <w:sz w:val="24"/>
          <w:szCs w:val="24"/>
        </w:rPr>
        <w:t>CRE</w:t>
      </w:r>
      <w:r w:rsidR="00F13625">
        <w:rPr>
          <w:sz w:val="24"/>
          <w:szCs w:val="24"/>
        </w:rPr>
        <w:t xml:space="preserve"> transactions markets</w:t>
      </w:r>
      <w:r w:rsidR="004C60B0">
        <w:rPr>
          <w:sz w:val="24"/>
          <w:szCs w:val="24"/>
        </w:rPr>
        <w:t xml:space="preserve">. </w:t>
      </w:r>
      <w:r w:rsidR="00644083">
        <w:rPr>
          <w:sz w:val="24"/>
          <w:szCs w:val="24"/>
        </w:rPr>
        <w:t xml:space="preserve">Ultimately, the empirical results using the series of data in this study are robust to </w:t>
      </w:r>
      <w:r w:rsidR="00F30561">
        <w:rPr>
          <w:sz w:val="24"/>
          <w:szCs w:val="24"/>
        </w:rPr>
        <w:t xml:space="preserve">alternative </w:t>
      </w:r>
      <w:r w:rsidR="00644083">
        <w:rPr>
          <w:sz w:val="24"/>
          <w:szCs w:val="24"/>
        </w:rPr>
        <w:t>ordering</w:t>
      </w:r>
      <w:r w:rsidR="00F30561">
        <w:rPr>
          <w:sz w:val="24"/>
          <w:szCs w:val="24"/>
        </w:rPr>
        <w:t xml:space="preserve"> selections</w:t>
      </w:r>
      <w:r w:rsidR="004C60B0">
        <w:rPr>
          <w:sz w:val="24"/>
          <w:szCs w:val="24"/>
        </w:rPr>
        <w:t>.</w:t>
      </w:r>
      <w:r w:rsidR="008264B3">
        <w:rPr>
          <w:sz w:val="24"/>
          <w:szCs w:val="24"/>
        </w:rPr>
        <w:t xml:space="preserve"> </w:t>
      </w:r>
    </w:p>
    <w:p w:rsidR="00B50F5C" w:rsidRDefault="00644083" w:rsidP="000D3C5D">
      <w:pPr>
        <w:spacing w:line="480" w:lineRule="auto"/>
        <w:jc w:val="both"/>
        <w:rPr>
          <w:sz w:val="24"/>
          <w:szCs w:val="24"/>
        </w:rPr>
      </w:pPr>
      <w:r>
        <w:rPr>
          <w:sz w:val="24"/>
          <w:szCs w:val="24"/>
        </w:rPr>
        <w:tab/>
        <w:t xml:space="preserve">This study presents </w:t>
      </w:r>
      <w:r w:rsidR="00881B63">
        <w:rPr>
          <w:sz w:val="24"/>
          <w:szCs w:val="24"/>
        </w:rPr>
        <w:t xml:space="preserve">two sets of </w:t>
      </w:r>
      <w:r>
        <w:rPr>
          <w:sz w:val="24"/>
          <w:szCs w:val="24"/>
        </w:rPr>
        <w:t xml:space="preserve">results </w:t>
      </w:r>
      <w:r w:rsidR="00881B63">
        <w:rPr>
          <w:sz w:val="24"/>
          <w:szCs w:val="24"/>
        </w:rPr>
        <w:t>for each VECM and VAR model</w:t>
      </w:r>
      <w:r w:rsidR="004C60B0">
        <w:rPr>
          <w:sz w:val="24"/>
          <w:szCs w:val="24"/>
        </w:rPr>
        <w:t xml:space="preserve">. </w:t>
      </w:r>
      <w:r>
        <w:rPr>
          <w:sz w:val="24"/>
          <w:szCs w:val="24"/>
        </w:rPr>
        <w:t xml:space="preserve">The first set of results </w:t>
      </w:r>
      <w:r w:rsidR="00881B63">
        <w:rPr>
          <w:sz w:val="24"/>
          <w:szCs w:val="24"/>
        </w:rPr>
        <w:t xml:space="preserve">includes all </w:t>
      </w:r>
      <w:r>
        <w:rPr>
          <w:sz w:val="24"/>
          <w:szCs w:val="24"/>
        </w:rPr>
        <w:t xml:space="preserve">endogenous variables, </w:t>
      </w:r>
      <w:r w:rsidR="00881B63">
        <w:rPr>
          <w:sz w:val="24"/>
          <w:szCs w:val="24"/>
        </w:rPr>
        <w:t xml:space="preserve">along with </w:t>
      </w:r>
      <w:r>
        <w:rPr>
          <w:sz w:val="24"/>
          <w:szCs w:val="24"/>
        </w:rPr>
        <w:t>six exogenous variables that are used to condition the endogenous measures for other potential sources of variation responding to macroeconomic conditions</w:t>
      </w:r>
      <w:r w:rsidR="004C60B0">
        <w:rPr>
          <w:sz w:val="24"/>
          <w:szCs w:val="24"/>
        </w:rPr>
        <w:t xml:space="preserve">. </w:t>
      </w:r>
      <w:r>
        <w:rPr>
          <w:sz w:val="24"/>
          <w:szCs w:val="24"/>
        </w:rPr>
        <w:t>The first set of results is provided for comparison to related work in the extant literature</w:t>
      </w:r>
      <w:r w:rsidR="004C60B0">
        <w:rPr>
          <w:sz w:val="24"/>
          <w:szCs w:val="24"/>
        </w:rPr>
        <w:t xml:space="preserve">. </w:t>
      </w:r>
      <w:r>
        <w:rPr>
          <w:sz w:val="24"/>
          <w:szCs w:val="24"/>
        </w:rPr>
        <w:t xml:space="preserve">The second set of </w:t>
      </w:r>
      <w:r w:rsidR="00881B63">
        <w:rPr>
          <w:sz w:val="24"/>
          <w:szCs w:val="24"/>
        </w:rPr>
        <w:t xml:space="preserve">results </w:t>
      </w:r>
      <w:r>
        <w:rPr>
          <w:sz w:val="24"/>
          <w:szCs w:val="24"/>
        </w:rPr>
        <w:t>inc</w:t>
      </w:r>
      <w:r w:rsidR="00FF5F8C">
        <w:rPr>
          <w:sz w:val="24"/>
          <w:szCs w:val="24"/>
        </w:rPr>
        <w:t>ludes only endogenous variables</w:t>
      </w:r>
      <w:r>
        <w:rPr>
          <w:sz w:val="24"/>
          <w:szCs w:val="24"/>
        </w:rPr>
        <w:t xml:space="preserve"> </w:t>
      </w:r>
      <w:r w:rsidR="00FF5F8C">
        <w:rPr>
          <w:sz w:val="24"/>
          <w:szCs w:val="24"/>
        </w:rPr>
        <w:t xml:space="preserve">(i.e., </w:t>
      </w:r>
      <w:r>
        <w:rPr>
          <w:sz w:val="24"/>
          <w:szCs w:val="24"/>
        </w:rPr>
        <w:t>does not include exogenous factors</w:t>
      </w:r>
      <w:r w:rsidR="00FF5F8C">
        <w:rPr>
          <w:sz w:val="24"/>
          <w:szCs w:val="24"/>
        </w:rPr>
        <w:t>)</w:t>
      </w:r>
      <w:r w:rsidR="004C60B0">
        <w:rPr>
          <w:sz w:val="24"/>
          <w:szCs w:val="24"/>
        </w:rPr>
        <w:t xml:space="preserve">. </w:t>
      </w:r>
      <w:r>
        <w:rPr>
          <w:sz w:val="24"/>
          <w:szCs w:val="24"/>
        </w:rPr>
        <w:t>The advantage of the second approach is in the opportunity to quantify the variance decomposition when only endogenous variables are included</w:t>
      </w:r>
      <w:r w:rsidR="004C60B0">
        <w:rPr>
          <w:sz w:val="24"/>
          <w:szCs w:val="24"/>
        </w:rPr>
        <w:t xml:space="preserve">. </w:t>
      </w:r>
      <w:r w:rsidR="005926F0">
        <w:rPr>
          <w:sz w:val="24"/>
          <w:szCs w:val="24"/>
        </w:rPr>
        <w:t xml:space="preserve">To produce the impulse response functions </w:t>
      </w:r>
      <w:r w:rsidR="00881B63">
        <w:rPr>
          <w:sz w:val="24"/>
          <w:szCs w:val="24"/>
        </w:rPr>
        <w:t xml:space="preserve">(IRF) </w:t>
      </w:r>
      <w:r w:rsidR="005926F0">
        <w:rPr>
          <w:sz w:val="24"/>
          <w:szCs w:val="24"/>
        </w:rPr>
        <w:t>and variance decompositions, the Choleski decomposition is used, which models the error term matrix as a recursive triangular system</w:t>
      </w:r>
      <w:r w:rsidR="004C60B0">
        <w:rPr>
          <w:sz w:val="24"/>
          <w:szCs w:val="24"/>
        </w:rPr>
        <w:t xml:space="preserve">. </w:t>
      </w:r>
      <w:r w:rsidR="00537541">
        <w:rPr>
          <w:sz w:val="24"/>
          <w:szCs w:val="24"/>
        </w:rPr>
        <w:t>The number of lags is selected based on AIC criteria</w:t>
      </w:r>
      <w:r w:rsidR="004C60B0">
        <w:rPr>
          <w:sz w:val="24"/>
          <w:szCs w:val="24"/>
        </w:rPr>
        <w:t xml:space="preserve">. </w:t>
      </w:r>
      <w:r w:rsidR="00537541">
        <w:rPr>
          <w:sz w:val="24"/>
          <w:szCs w:val="24"/>
        </w:rPr>
        <w:t>AIC values are highly similar in models with one, two or three lags</w:t>
      </w:r>
      <w:r w:rsidR="004C60B0">
        <w:rPr>
          <w:sz w:val="24"/>
          <w:szCs w:val="24"/>
        </w:rPr>
        <w:t xml:space="preserve">. </w:t>
      </w:r>
      <w:r w:rsidR="00537541">
        <w:rPr>
          <w:sz w:val="24"/>
          <w:szCs w:val="24"/>
        </w:rPr>
        <w:t xml:space="preserve">However, none of the endogenous or exogenous variables appear significant beyond the first lag, </w:t>
      </w:r>
      <w:r w:rsidR="00881B63">
        <w:rPr>
          <w:sz w:val="24"/>
          <w:szCs w:val="24"/>
        </w:rPr>
        <w:t xml:space="preserve">thus </w:t>
      </w:r>
      <w:r w:rsidR="00537541">
        <w:rPr>
          <w:sz w:val="24"/>
          <w:szCs w:val="24"/>
        </w:rPr>
        <w:t>VAR</w:t>
      </w:r>
      <w:r w:rsidR="00881B63">
        <w:rPr>
          <w:sz w:val="24"/>
          <w:szCs w:val="24"/>
        </w:rPr>
        <w:t>/VECM</w:t>
      </w:r>
      <w:r w:rsidR="00537541">
        <w:rPr>
          <w:sz w:val="24"/>
          <w:szCs w:val="24"/>
        </w:rPr>
        <w:t>(1,1) and VAR</w:t>
      </w:r>
      <w:r w:rsidR="00881B63">
        <w:rPr>
          <w:sz w:val="24"/>
          <w:szCs w:val="24"/>
        </w:rPr>
        <w:t>/VECM</w:t>
      </w:r>
      <w:r w:rsidR="00537541">
        <w:rPr>
          <w:sz w:val="24"/>
          <w:szCs w:val="24"/>
        </w:rPr>
        <w:t xml:space="preserve">(1) models are </w:t>
      </w:r>
      <w:r w:rsidR="00881B63">
        <w:rPr>
          <w:sz w:val="24"/>
          <w:szCs w:val="24"/>
        </w:rPr>
        <w:t xml:space="preserve">reported in this study, while </w:t>
      </w:r>
      <w:r w:rsidR="00537541">
        <w:rPr>
          <w:sz w:val="24"/>
          <w:szCs w:val="24"/>
        </w:rPr>
        <w:t>higher lag options produce qualitatively similar results</w:t>
      </w:r>
      <w:r w:rsidR="004C60B0">
        <w:rPr>
          <w:sz w:val="24"/>
          <w:szCs w:val="24"/>
        </w:rPr>
        <w:t>.</w:t>
      </w:r>
      <w:r w:rsidR="008264B3">
        <w:rPr>
          <w:sz w:val="24"/>
          <w:szCs w:val="24"/>
        </w:rPr>
        <w:t xml:space="preserve"> </w:t>
      </w:r>
    </w:p>
    <w:p w:rsidR="005926F0" w:rsidRDefault="005926F0" w:rsidP="00C20839">
      <w:pPr>
        <w:spacing w:line="480" w:lineRule="auto"/>
        <w:rPr>
          <w:sz w:val="24"/>
          <w:szCs w:val="24"/>
        </w:rPr>
      </w:pPr>
    </w:p>
    <w:p w:rsidR="00644083" w:rsidRDefault="00537541" w:rsidP="00C20839">
      <w:pPr>
        <w:spacing w:line="480" w:lineRule="auto"/>
        <w:rPr>
          <w:b/>
          <w:sz w:val="24"/>
          <w:szCs w:val="24"/>
        </w:rPr>
      </w:pPr>
      <w:r w:rsidRPr="00537541">
        <w:rPr>
          <w:b/>
          <w:sz w:val="24"/>
          <w:szCs w:val="24"/>
        </w:rPr>
        <w:t xml:space="preserve">IV. Results </w:t>
      </w:r>
    </w:p>
    <w:p w:rsidR="00881B63" w:rsidRDefault="00881B63" w:rsidP="000D3C5D">
      <w:pPr>
        <w:spacing w:line="480" w:lineRule="auto"/>
        <w:jc w:val="both"/>
        <w:rPr>
          <w:sz w:val="24"/>
          <w:szCs w:val="24"/>
        </w:rPr>
      </w:pPr>
      <w:r>
        <w:rPr>
          <w:sz w:val="24"/>
          <w:szCs w:val="24"/>
        </w:rPr>
        <w:t xml:space="preserve">Results from the </w:t>
      </w:r>
      <w:r w:rsidR="00F806C2">
        <w:rPr>
          <w:sz w:val="24"/>
          <w:szCs w:val="24"/>
        </w:rPr>
        <w:t xml:space="preserve">VECM </w:t>
      </w:r>
      <w:r>
        <w:rPr>
          <w:sz w:val="24"/>
          <w:szCs w:val="24"/>
        </w:rPr>
        <w:t>estimations are presented in Table 3</w:t>
      </w:r>
      <w:r w:rsidR="004C60B0">
        <w:rPr>
          <w:sz w:val="24"/>
          <w:szCs w:val="24"/>
        </w:rPr>
        <w:t xml:space="preserve">. </w:t>
      </w:r>
      <w:r>
        <w:rPr>
          <w:sz w:val="24"/>
          <w:szCs w:val="24"/>
        </w:rPr>
        <w:t>In the first-stage</w:t>
      </w:r>
      <w:r w:rsidR="002D357D">
        <w:rPr>
          <w:sz w:val="24"/>
          <w:szCs w:val="24"/>
        </w:rPr>
        <w:t>,</w:t>
      </w:r>
      <w:r>
        <w:rPr>
          <w:sz w:val="24"/>
          <w:szCs w:val="24"/>
        </w:rPr>
        <w:t xml:space="preserve"> the long-run equilibrium relation between Capital Gains, Income Returns</w:t>
      </w:r>
      <w:r w:rsidR="00FF5F8C">
        <w:rPr>
          <w:sz w:val="24"/>
          <w:szCs w:val="24"/>
        </w:rPr>
        <w:t>,</w:t>
      </w:r>
      <w:r>
        <w:rPr>
          <w:sz w:val="24"/>
          <w:szCs w:val="24"/>
        </w:rPr>
        <w:t xml:space="preserve"> and CRE Tightening is estimated</w:t>
      </w:r>
      <w:r w:rsidR="004C60B0">
        <w:rPr>
          <w:sz w:val="24"/>
          <w:szCs w:val="24"/>
        </w:rPr>
        <w:t xml:space="preserve">. </w:t>
      </w:r>
      <w:r>
        <w:rPr>
          <w:sz w:val="24"/>
          <w:szCs w:val="24"/>
        </w:rPr>
        <w:t>The coefficients are 0.666 for Capital Gains and -0.269 for CRE Tightening, whereas Income Returns has no significant effect on Capital Gains in the long-run</w:t>
      </w:r>
      <w:r w:rsidR="004C60B0">
        <w:rPr>
          <w:sz w:val="24"/>
          <w:szCs w:val="24"/>
        </w:rPr>
        <w:t xml:space="preserve">. </w:t>
      </w:r>
      <w:r>
        <w:rPr>
          <w:sz w:val="24"/>
          <w:szCs w:val="24"/>
        </w:rPr>
        <w:t>Capital Gains are highly sensitive to CRE Tightening</w:t>
      </w:r>
      <w:r w:rsidR="004C60B0">
        <w:rPr>
          <w:sz w:val="24"/>
          <w:szCs w:val="24"/>
        </w:rPr>
        <w:t xml:space="preserve">. </w:t>
      </w:r>
      <w:r>
        <w:rPr>
          <w:sz w:val="24"/>
          <w:szCs w:val="24"/>
        </w:rPr>
        <w:t>When deviations in Capital Gains from its mean coincide with deviation</w:t>
      </w:r>
      <w:r w:rsidR="001B03FE">
        <w:rPr>
          <w:sz w:val="24"/>
          <w:szCs w:val="24"/>
        </w:rPr>
        <w:t>s in CRE Tightening that are 2.5</w:t>
      </w:r>
      <w:r>
        <w:rPr>
          <w:sz w:val="24"/>
          <w:szCs w:val="24"/>
        </w:rPr>
        <w:t xml:space="preserve"> times greater, there is no need for error correction and the two variables are in long-run equilibrium</w:t>
      </w:r>
      <w:r w:rsidR="004C60B0">
        <w:rPr>
          <w:sz w:val="24"/>
          <w:szCs w:val="24"/>
        </w:rPr>
        <w:t xml:space="preserve">. </w:t>
      </w:r>
      <w:r w:rsidR="001B03FE">
        <w:rPr>
          <w:sz w:val="24"/>
          <w:szCs w:val="24"/>
        </w:rPr>
        <w:t>Thus, there is an optimal responsiveness of credit policy to CRE price growth.</w:t>
      </w:r>
    </w:p>
    <w:p w:rsidR="00881B63" w:rsidRDefault="00351B4C" w:rsidP="000D3C5D">
      <w:pPr>
        <w:spacing w:line="480" w:lineRule="auto"/>
        <w:jc w:val="both"/>
        <w:rPr>
          <w:sz w:val="24"/>
          <w:szCs w:val="24"/>
        </w:rPr>
      </w:pPr>
      <w:r>
        <w:rPr>
          <w:sz w:val="24"/>
          <w:szCs w:val="24"/>
        </w:rPr>
        <w:tab/>
        <w:t>The error term from the first-stage of the VECM is collected and included in the second-stage for first-differences – considering short-run dynamics</w:t>
      </w:r>
      <w:r w:rsidR="004C60B0">
        <w:rPr>
          <w:sz w:val="24"/>
          <w:szCs w:val="24"/>
        </w:rPr>
        <w:t xml:space="preserve">. </w:t>
      </w:r>
      <w:r>
        <w:rPr>
          <w:sz w:val="24"/>
          <w:szCs w:val="24"/>
        </w:rPr>
        <w:t xml:space="preserve">Increases in CRE Tightening create </w:t>
      </w:r>
      <w:r w:rsidR="0070191B">
        <w:rPr>
          <w:sz w:val="24"/>
          <w:szCs w:val="24"/>
        </w:rPr>
        <w:t>distortions in CRE asset prices</w:t>
      </w:r>
      <w:r>
        <w:rPr>
          <w:sz w:val="24"/>
          <w:szCs w:val="24"/>
        </w:rPr>
        <w:t xml:space="preserve"> causing Capital Gains to be too high relative to long-run equilibrium</w:t>
      </w:r>
      <w:r w:rsidR="004C60B0">
        <w:rPr>
          <w:sz w:val="24"/>
          <w:szCs w:val="24"/>
        </w:rPr>
        <w:t xml:space="preserve">. </w:t>
      </w:r>
      <w:r>
        <w:rPr>
          <w:sz w:val="24"/>
          <w:szCs w:val="24"/>
        </w:rPr>
        <w:t>From the Error Correction coefficient, no less than 100 percent of any such deviation in Capital Gains from long-run equilibrium will be corrected in the subsequent quarter</w:t>
      </w:r>
      <w:r w:rsidR="004C60B0">
        <w:rPr>
          <w:sz w:val="24"/>
          <w:szCs w:val="24"/>
        </w:rPr>
        <w:t xml:space="preserve">. </w:t>
      </w:r>
      <w:r w:rsidR="00F806C2">
        <w:rPr>
          <w:sz w:val="24"/>
          <w:szCs w:val="24"/>
        </w:rPr>
        <w:t>A one standard deviation increase in CRE Tightening (26</w:t>
      </w:r>
      <w:r w:rsidR="00CE7C0A">
        <w:rPr>
          <w:sz w:val="24"/>
          <w:szCs w:val="24"/>
        </w:rPr>
        <w:t xml:space="preserve"> percent</w:t>
      </w:r>
      <w:r w:rsidR="00F806C2">
        <w:rPr>
          <w:sz w:val="24"/>
          <w:szCs w:val="24"/>
        </w:rPr>
        <w:t xml:space="preserve"> of banks net tightening to CRE sector) immediately causes a 0.21 standard deviation reduction in Capital Gains (50 basis points, which is 5</w:t>
      </w:r>
      <w:r w:rsidR="000F0D53">
        <w:rPr>
          <w:sz w:val="24"/>
          <w:szCs w:val="24"/>
        </w:rPr>
        <w:t xml:space="preserve"> times greater than</w:t>
      </w:r>
      <w:r w:rsidR="00F806C2">
        <w:rPr>
          <w:sz w:val="24"/>
          <w:szCs w:val="24"/>
        </w:rPr>
        <w:t xml:space="preserve"> the mean</w:t>
      </w:r>
      <w:r w:rsidR="00C27B6C">
        <w:rPr>
          <w:sz w:val="24"/>
          <w:szCs w:val="24"/>
        </w:rPr>
        <w:t xml:space="preserve"> value</w:t>
      </w:r>
      <w:r w:rsidR="00F806C2">
        <w:rPr>
          <w:sz w:val="24"/>
          <w:szCs w:val="24"/>
        </w:rPr>
        <w:t>)</w:t>
      </w:r>
      <w:r>
        <w:rPr>
          <w:sz w:val="24"/>
          <w:szCs w:val="24"/>
        </w:rPr>
        <w:t xml:space="preserve"> in the following quarter</w:t>
      </w:r>
      <w:r w:rsidR="004C60B0">
        <w:rPr>
          <w:sz w:val="24"/>
          <w:szCs w:val="24"/>
        </w:rPr>
        <w:t xml:space="preserve">. </w:t>
      </w:r>
      <w:r>
        <w:rPr>
          <w:sz w:val="24"/>
          <w:szCs w:val="24"/>
        </w:rPr>
        <w:t>Income Returns have zero impact on Capital Gains in both the short-run and long-run</w:t>
      </w:r>
      <w:r w:rsidR="004C60B0">
        <w:rPr>
          <w:sz w:val="24"/>
          <w:szCs w:val="24"/>
        </w:rPr>
        <w:t xml:space="preserve">. </w:t>
      </w:r>
      <w:r>
        <w:rPr>
          <w:sz w:val="24"/>
          <w:szCs w:val="24"/>
        </w:rPr>
        <w:t xml:space="preserve">Surprisingly, </w:t>
      </w:r>
      <w:r w:rsidR="00BF3A1B">
        <w:rPr>
          <w:sz w:val="24"/>
          <w:szCs w:val="24"/>
        </w:rPr>
        <w:t xml:space="preserve">upon introducing </w:t>
      </w:r>
      <w:r w:rsidR="000157F8">
        <w:rPr>
          <w:sz w:val="24"/>
          <w:szCs w:val="24"/>
        </w:rPr>
        <w:t xml:space="preserve">the </w:t>
      </w:r>
      <w:r>
        <w:rPr>
          <w:sz w:val="24"/>
          <w:szCs w:val="24"/>
        </w:rPr>
        <w:t>Error Correction</w:t>
      </w:r>
      <w:r w:rsidR="000157F8">
        <w:rPr>
          <w:sz w:val="24"/>
          <w:szCs w:val="24"/>
        </w:rPr>
        <w:t xml:space="preserve"> term</w:t>
      </w:r>
      <w:r>
        <w:rPr>
          <w:sz w:val="24"/>
          <w:szCs w:val="24"/>
        </w:rPr>
        <w:t>, lagged changes in Capital Gains have no immediate effect on current realized values</w:t>
      </w:r>
      <w:r w:rsidR="004C60B0">
        <w:rPr>
          <w:sz w:val="24"/>
          <w:szCs w:val="24"/>
        </w:rPr>
        <w:t xml:space="preserve">. </w:t>
      </w:r>
      <w:r>
        <w:rPr>
          <w:sz w:val="24"/>
          <w:szCs w:val="24"/>
        </w:rPr>
        <w:t>Neither do any of the exogenous factors considered</w:t>
      </w:r>
      <w:r w:rsidR="004C60B0">
        <w:rPr>
          <w:sz w:val="24"/>
          <w:szCs w:val="24"/>
        </w:rPr>
        <w:t xml:space="preserve">. </w:t>
      </w:r>
      <w:r>
        <w:rPr>
          <w:sz w:val="24"/>
          <w:szCs w:val="24"/>
        </w:rPr>
        <w:t xml:space="preserve">In the immediate horizon, the only distortions in Capital Gains are in response to CRE Tightening along with an Error Correction term that </w:t>
      </w:r>
      <w:r w:rsidR="006D0589">
        <w:rPr>
          <w:sz w:val="24"/>
          <w:szCs w:val="24"/>
        </w:rPr>
        <w:t xml:space="preserve">quickly </w:t>
      </w:r>
      <w:r>
        <w:rPr>
          <w:sz w:val="24"/>
          <w:szCs w:val="24"/>
        </w:rPr>
        <w:t>returns the two series to their long-run equilibrium state</w:t>
      </w:r>
      <w:r w:rsidR="004C60B0">
        <w:rPr>
          <w:sz w:val="24"/>
          <w:szCs w:val="24"/>
        </w:rPr>
        <w:t>.</w:t>
      </w:r>
      <w:r w:rsidR="008264B3">
        <w:rPr>
          <w:sz w:val="24"/>
          <w:szCs w:val="24"/>
        </w:rPr>
        <w:t xml:space="preserve"> </w:t>
      </w:r>
      <w:r w:rsidR="00F806C2">
        <w:rPr>
          <w:sz w:val="24"/>
          <w:szCs w:val="24"/>
        </w:rPr>
        <w:t xml:space="preserve"> </w:t>
      </w:r>
    </w:p>
    <w:p w:rsidR="001C7276" w:rsidRDefault="00537541" w:rsidP="000D3C5D">
      <w:pPr>
        <w:spacing w:line="480" w:lineRule="auto"/>
        <w:ind w:firstLine="720"/>
        <w:jc w:val="both"/>
        <w:rPr>
          <w:sz w:val="24"/>
          <w:szCs w:val="24"/>
        </w:rPr>
      </w:pPr>
      <w:r>
        <w:rPr>
          <w:sz w:val="24"/>
          <w:szCs w:val="24"/>
        </w:rPr>
        <w:t xml:space="preserve">Results from the estimation of the VAR system </w:t>
      </w:r>
      <w:r w:rsidR="00351B4C">
        <w:rPr>
          <w:sz w:val="24"/>
          <w:szCs w:val="24"/>
        </w:rPr>
        <w:t xml:space="preserve">that </w:t>
      </w:r>
      <w:r>
        <w:rPr>
          <w:sz w:val="24"/>
          <w:szCs w:val="24"/>
        </w:rPr>
        <w:t xml:space="preserve">includes four equations </w:t>
      </w:r>
      <w:r w:rsidR="006D0589">
        <w:rPr>
          <w:sz w:val="24"/>
          <w:szCs w:val="24"/>
        </w:rPr>
        <w:t xml:space="preserve">(VAR:4) </w:t>
      </w:r>
      <w:r>
        <w:rPr>
          <w:sz w:val="24"/>
          <w:szCs w:val="24"/>
        </w:rPr>
        <w:t xml:space="preserve">with </w:t>
      </w:r>
      <w:r w:rsidR="001C7276">
        <w:rPr>
          <w:sz w:val="24"/>
          <w:szCs w:val="24"/>
        </w:rPr>
        <w:t xml:space="preserve">four </w:t>
      </w:r>
      <w:r>
        <w:rPr>
          <w:sz w:val="24"/>
          <w:szCs w:val="24"/>
        </w:rPr>
        <w:t>endogenous variables and six exogenous va</w:t>
      </w:r>
      <w:r w:rsidR="001C7276">
        <w:rPr>
          <w:sz w:val="24"/>
          <w:szCs w:val="24"/>
        </w:rPr>
        <w:t>riables are presented in Table 4</w:t>
      </w:r>
      <w:r w:rsidR="004C60B0">
        <w:rPr>
          <w:sz w:val="24"/>
          <w:szCs w:val="24"/>
        </w:rPr>
        <w:t xml:space="preserve">. </w:t>
      </w:r>
      <w:r>
        <w:rPr>
          <w:sz w:val="24"/>
          <w:szCs w:val="24"/>
        </w:rPr>
        <w:t xml:space="preserve">Income Returns </w:t>
      </w:r>
      <w:r w:rsidR="00121282">
        <w:rPr>
          <w:sz w:val="24"/>
          <w:szCs w:val="24"/>
        </w:rPr>
        <w:t xml:space="preserve">are positively related to </w:t>
      </w:r>
      <w:r w:rsidR="006D0589">
        <w:rPr>
          <w:sz w:val="24"/>
          <w:szCs w:val="24"/>
        </w:rPr>
        <w:t xml:space="preserve">prior </w:t>
      </w:r>
      <w:r w:rsidR="00121282">
        <w:rPr>
          <w:sz w:val="24"/>
          <w:szCs w:val="24"/>
        </w:rPr>
        <w:t>values, but inversely related to Capital Gains</w:t>
      </w:r>
      <w:r w:rsidR="004C60B0">
        <w:rPr>
          <w:sz w:val="24"/>
          <w:szCs w:val="24"/>
        </w:rPr>
        <w:t xml:space="preserve">. </w:t>
      </w:r>
      <w:r w:rsidR="00121282">
        <w:rPr>
          <w:sz w:val="24"/>
          <w:szCs w:val="24"/>
        </w:rPr>
        <w:t>Following periods of capital appreciation, asset prices are bid upward relative to income, lowering yields</w:t>
      </w:r>
      <w:r w:rsidR="004C60B0">
        <w:rPr>
          <w:sz w:val="24"/>
          <w:szCs w:val="24"/>
        </w:rPr>
        <w:t xml:space="preserve">. </w:t>
      </w:r>
      <w:r w:rsidR="001C7276">
        <w:rPr>
          <w:sz w:val="24"/>
          <w:szCs w:val="24"/>
        </w:rPr>
        <w:t xml:space="preserve">CRE </w:t>
      </w:r>
      <w:r w:rsidR="00121282">
        <w:rPr>
          <w:sz w:val="24"/>
          <w:szCs w:val="24"/>
        </w:rPr>
        <w:t>Tightening replicate</w:t>
      </w:r>
      <w:r w:rsidR="001C7276">
        <w:rPr>
          <w:sz w:val="24"/>
          <w:szCs w:val="24"/>
        </w:rPr>
        <w:t>s</w:t>
      </w:r>
      <w:r w:rsidR="00121282">
        <w:rPr>
          <w:sz w:val="24"/>
          <w:szCs w:val="24"/>
        </w:rPr>
        <w:t xml:space="preserve"> its own past behavior and is also inversely related to macroeconomic factors in</w:t>
      </w:r>
      <w:r w:rsidR="001C7276">
        <w:rPr>
          <w:sz w:val="24"/>
          <w:szCs w:val="24"/>
        </w:rPr>
        <w:t>cluding the market risk premium</w:t>
      </w:r>
      <w:r w:rsidR="00121282">
        <w:rPr>
          <w:sz w:val="24"/>
          <w:szCs w:val="24"/>
        </w:rPr>
        <w:t xml:space="preserve"> and </w:t>
      </w:r>
      <w:r w:rsidR="001C7276">
        <w:rPr>
          <w:sz w:val="24"/>
          <w:szCs w:val="24"/>
        </w:rPr>
        <w:t>SMB</w:t>
      </w:r>
      <w:r w:rsidR="004C60B0">
        <w:rPr>
          <w:sz w:val="24"/>
          <w:szCs w:val="24"/>
        </w:rPr>
        <w:t xml:space="preserve">. </w:t>
      </w:r>
      <w:r w:rsidR="00121282">
        <w:rPr>
          <w:sz w:val="24"/>
          <w:szCs w:val="24"/>
        </w:rPr>
        <w:t>When yields on risky assets rise relative to the risk-free rate, credit is loosened in the following period</w:t>
      </w:r>
      <w:r w:rsidR="004C60B0">
        <w:rPr>
          <w:sz w:val="24"/>
          <w:szCs w:val="24"/>
        </w:rPr>
        <w:t xml:space="preserve">. </w:t>
      </w:r>
      <w:r w:rsidR="001C7276">
        <w:rPr>
          <w:sz w:val="24"/>
          <w:szCs w:val="24"/>
        </w:rPr>
        <w:t xml:space="preserve">Transactions Volume is positively related to Income Returns, Capital Gains, and recent Volume, </w:t>
      </w:r>
      <w:r w:rsidR="00FF5F8C">
        <w:rPr>
          <w:sz w:val="24"/>
          <w:szCs w:val="24"/>
        </w:rPr>
        <w:t xml:space="preserve">but </w:t>
      </w:r>
      <w:r w:rsidR="001C7276">
        <w:rPr>
          <w:sz w:val="24"/>
          <w:szCs w:val="24"/>
        </w:rPr>
        <w:t>responds negatively to CRE Tightening – consistent with expectations</w:t>
      </w:r>
      <w:r w:rsidR="004C60B0">
        <w:rPr>
          <w:sz w:val="24"/>
          <w:szCs w:val="24"/>
        </w:rPr>
        <w:t xml:space="preserve">. </w:t>
      </w:r>
    </w:p>
    <w:p w:rsidR="001C7276" w:rsidRDefault="001C7276" w:rsidP="000D3C5D">
      <w:pPr>
        <w:spacing w:line="480" w:lineRule="auto"/>
        <w:ind w:firstLine="720"/>
        <w:jc w:val="both"/>
        <w:rPr>
          <w:sz w:val="24"/>
          <w:szCs w:val="24"/>
        </w:rPr>
      </w:pPr>
      <w:r>
        <w:rPr>
          <w:sz w:val="24"/>
          <w:szCs w:val="24"/>
        </w:rPr>
        <w:t>In the far-right columns of Table 4, evidence for the long-run equilibrium relationship between Capital Gains and CRE Tightening is largely consistent with results from the VECM estimations</w:t>
      </w:r>
      <w:r w:rsidR="004C60B0">
        <w:rPr>
          <w:sz w:val="24"/>
          <w:szCs w:val="24"/>
        </w:rPr>
        <w:t xml:space="preserve">. </w:t>
      </w:r>
      <w:r w:rsidR="00A9045F">
        <w:rPr>
          <w:sz w:val="24"/>
          <w:szCs w:val="24"/>
        </w:rPr>
        <w:t xml:space="preserve">Capital </w:t>
      </w:r>
      <w:r w:rsidR="00313EFC">
        <w:rPr>
          <w:sz w:val="24"/>
          <w:szCs w:val="24"/>
        </w:rPr>
        <w:t>G</w:t>
      </w:r>
      <w:r w:rsidR="00A9045F">
        <w:rPr>
          <w:sz w:val="24"/>
          <w:szCs w:val="24"/>
        </w:rPr>
        <w:t>ains are positively related to their past realized value</w:t>
      </w:r>
      <w:r w:rsidR="004C60B0">
        <w:rPr>
          <w:sz w:val="24"/>
          <w:szCs w:val="24"/>
        </w:rPr>
        <w:t xml:space="preserve">. </w:t>
      </w:r>
      <w:r w:rsidR="00A9045F">
        <w:rPr>
          <w:sz w:val="24"/>
          <w:szCs w:val="24"/>
        </w:rPr>
        <w:t xml:space="preserve">Positive </w:t>
      </w:r>
      <w:r>
        <w:rPr>
          <w:sz w:val="24"/>
          <w:szCs w:val="24"/>
        </w:rPr>
        <w:t>C</w:t>
      </w:r>
      <w:r w:rsidR="00A9045F">
        <w:rPr>
          <w:sz w:val="24"/>
          <w:szCs w:val="24"/>
        </w:rPr>
        <w:t xml:space="preserve">apital </w:t>
      </w:r>
      <w:r>
        <w:rPr>
          <w:sz w:val="24"/>
          <w:szCs w:val="24"/>
        </w:rPr>
        <w:t>G</w:t>
      </w:r>
      <w:r w:rsidR="00A9045F">
        <w:rPr>
          <w:sz w:val="24"/>
          <w:szCs w:val="24"/>
        </w:rPr>
        <w:t xml:space="preserve">ains create higher valuations that are followed by </w:t>
      </w:r>
      <w:r w:rsidR="0027666C">
        <w:rPr>
          <w:sz w:val="24"/>
          <w:szCs w:val="24"/>
        </w:rPr>
        <w:t xml:space="preserve">subsequently </w:t>
      </w:r>
      <w:r w:rsidR="00A9045F">
        <w:rPr>
          <w:sz w:val="24"/>
          <w:szCs w:val="24"/>
        </w:rPr>
        <w:t>higher valuations</w:t>
      </w:r>
      <w:r w:rsidR="004C60B0">
        <w:rPr>
          <w:sz w:val="24"/>
          <w:szCs w:val="24"/>
        </w:rPr>
        <w:t xml:space="preserve">. </w:t>
      </w:r>
      <w:r w:rsidR="00A9045F">
        <w:rPr>
          <w:sz w:val="24"/>
          <w:szCs w:val="24"/>
        </w:rPr>
        <w:t>Periods of asset sell-offs and dropping values are also sequential</w:t>
      </w:r>
      <w:r w:rsidR="004C60B0">
        <w:rPr>
          <w:sz w:val="24"/>
          <w:szCs w:val="24"/>
        </w:rPr>
        <w:t xml:space="preserve">. </w:t>
      </w:r>
      <w:r>
        <w:rPr>
          <w:sz w:val="24"/>
          <w:szCs w:val="24"/>
        </w:rPr>
        <w:t>An increase in CRE Tightening clamps down on the Capital Gains trajectory.</w:t>
      </w:r>
    </w:p>
    <w:p w:rsidR="001C7276" w:rsidRDefault="001F6105" w:rsidP="000D3C5D">
      <w:pPr>
        <w:spacing w:line="480" w:lineRule="auto"/>
        <w:ind w:firstLine="720"/>
        <w:jc w:val="both"/>
        <w:rPr>
          <w:sz w:val="24"/>
          <w:szCs w:val="24"/>
        </w:rPr>
      </w:pPr>
      <w:r w:rsidRPr="00ED5D1B">
        <w:rPr>
          <w:sz w:val="24"/>
          <w:szCs w:val="24"/>
        </w:rPr>
        <w:t xml:space="preserve">Table </w:t>
      </w:r>
      <w:r w:rsidR="00ED5D1B" w:rsidRPr="00ED5D1B">
        <w:rPr>
          <w:sz w:val="24"/>
          <w:szCs w:val="24"/>
        </w:rPr>
        <w:t>5</w:t>
      </w:r>
      <w:r w:rsidRPr="00ED5D1B">
        <w:rPr>
          <w:sz w:val="24"/>
          <w:szCs w:val="24"/>
        </w:rPr>
        <w:t xml:space="preserve"> presents results for the specification that includes only </w:t>
      </w:r>
      <w:r w:rsidR="00ED5D1B" w:rsidRPr="00ED5D1B">
        <w:rPr>
          <w:sz w:val="24"/>
          <w:szCs w:val="24"/>
        </w:rPr>
        <w:t xml:space="preserve">three </w:t>
      </w:r>
      <w:r>
        <w:rPr>
          <w:sz w:val="24"/>
          <w:szCs w:val="24"/>
        </w:rPr>
        <w:t>endogenous factors</w:t>
      </w:r>
      <w:r w:rsidR="00AA11E1">
        <w:rPr>
          <w:sz w:val="24"/>
          <w:szCs w:val="24"/>
        </w:rPr>
        <w:t xml:space="preserve"> (VAR:3)</w:t>
      </w:r>
      <w:r>
        <w:rPr>
          <w:sz w:val="24"/>
          <w:szCs w:val="24"/>
        </w:rPr>
        <w:t>: Income Returns, Capital Gains</w:t>
      </w:r>
      <w:r w:rsidR="00ED5D1B">
        <w:rPr>
          <w:sz w:val="24"/>
          <w:szCs w:val="24"/>
        </w:rPr>
        <w:t xml:space="preserve">, and a CRE Lending Index constructed from the principal components of four underwriting measures. The four </w:t>
      </w:r>
      <w:r w:rsidR="00AA11E1">
        <w:rPr>
          <w:sz w:val="24"/>
          <w:szCs w:val="24"/>
        </w:rPr>
        <w:t xml:space="preserve">underwriting </w:t>
      </w:r>
      <w:r w:rsidR="00ED5D1B">
        <w:rPr>
          <w:sz w:val="24"/>
          <w:szCs w:val="24"/>
        </w:rPr>
        <w:t>measures are Relative Tightening, CRE Tightening, Volume</w:t>
      </w:r>
      <w:r w:rsidR="00FF5F8C">
        <w:rPr>
          <w:sz w:val="24"/>
          <w:szCs w:val="24"/>
        </w:rPr>
        <w:t>,</w:t>
      </w:r>
      <w:r w:rsidR="00ED5D1B">
        <w:rPr>
          <w:sz w:val="24"/>
          <w:szCs w:val="24"/>
        </w:rPr>
        <w:t xml:space="preserve"> and the percentage change in CRE Mtg Flows. These four measures are identified as the most informative underwriting measures, based on factor analysis for a set of measures that also included CRE Debt and CRE Spread.</w:t>
      </w:r>
      <w:r w:rsidR="008264B3">
        <w:rPr>
          <w:sz w:val="24"/>
          <w:szCs w:val="24"/>
        </w:rPr>
        <w:t xml:space="preserve"> </w:t>
      </w:r>
      <w:r w:rsidR="00ED5D1B">
        <w:rPr>
          <w:sz w:val="24"/>
          <w:szCs w:val="24"/>
        </w:rPr>
        <w:t xml:space="preserve">Applying the CRE Lending Index produces highly similar results to the CRE Tightening measure. In the Capital Gains estimation, coefficients for lagged Capital Gains are 0.689 and 0.684 (compared </w:t>
      </w:r>
      <w:r w:rsidR="00C41CE6">
        <w:rPr>
          <w:sz w:val="24"/>
          <w:szCs w:val="24"/>
        </w:rPr>
        <w:t xml:space="preserve">with coefficients of </w:t>
      </w:r>
      <w:r w:rsidR="00ED5D1B">
        <w:rPr>
          <w:sz w:val="24"/>
          <w:szCs w:val="24"/>
        </w:rPr>
        <w:t>0.623 and 0.680</w:t>
      </w:r>
      <w:r w:rsidR="00C41CE6">
        <w:rPr>
          <w:sz w:val="24"/>
          <w:szCs w:val="24"/>
        </w:rPr>
        <w:t xml:space="preserve"> in Table 4</w:t>
      </w:r>
      <w:r w:rsidR="00ED5D1B">
        <w:rPr>
          <w:sz w:val="24"/>
          <w:szCs w:val="24"/>
        </w:rPr>
        <w:t xml:space="preserve">), while </w:t>
      </w:r>
      <w:r w:rsidR="005156CB">
        <w:rPr>
          <w:sz w:val="24"/>
          <w:szCs w:val="24"/>
        </w:rPr>
        <w:t xml:space="preserve">the </w:t>
      </w:r>
      <w:r w:rsidR="00ED5D1B">
        <w:rPr>
          <w:sz w:val="24"/>
          <w:szCs w:val="24"/>
        </w:rPr>
        <w:t>coeffici</w:t>
      </w:r>
      <w:r w:rsidR="005156CB">
        <w:rPr>
          <w:sz w:val="24"/>
          <w:szCs w:val="24"/>
        </w:rPr>
        <w:t>ent</w:t>
      </w:r>
      <w:r w:rsidR="00ED5D1B">
        <w:rPr>
          <w:sz w:val="24"/>
          <w:szCs w:val="24"/>
        </w:rPr>
        <w:t xml:space="preserve"> for </w:t>
      </w:r>
      <w:r w:rsidR="005156CB">
        <w:rPr>
          <w:sz w:val="24"/>
          <w:szCs w:val="24"/>
        </w:rPr>
        <w:t>the CRE Lending Index is -0.192 (compared to values of -0.268 and -0.273 for CRE Tightening in Table 4). Once again, s</w:t>
      </w:r>
      <w:r>
        <w:rPr>
          <w:sz w:val="24"/>
          <w:szCs w:val="24"/>
        </w:rPr>
        <w:t>uppressing exogenous factors in the estimation produces similar results</w:t>
      </w:r>
      <w:r w:rsidR="004C60B0">
        <w:rPr>
          <w:sz w:val="24"/>
          <w:szCs w:val="24"/>
        </w:rPr>
        <w:t xml:space="preserve">. </w:t>
      </w:r>
      <w:r>
        <w:rPr>
          <w:sz w:val="24"/>
          <w:szCs w:val="24"/>
        </w:rPr>
        <w:t>Periods of high income returns are preceded by periods of high income returns</w:t>
      </w:r>
      <w:r w:rsidR="002B5ABC">
        <w:rPr>
          <w:sz w:val="24"/>
          <w:szCs w:val="24"/>
        </w:rPr>
        <w:t>.</w:t>
      </w:r>
      <w:r>
        <w:rPr>
          <w:sz w:val="24"/>
          <w:szCs w:val="24"/>
        </w:rPr>
        <w:t xml:space="preserve"> </w:t>
      </w:r>
      <w:r w:rsidR="002B5ABC">
        <w:rPr>
          <w:sz w:val="24"/>
          <w:szCs w:val="24"/>
        </w:rPr>
        <w:t>It suggests</w:t>
      </w:r>
      <w:r>
        <w:rPr>
          <w:sz w:val="24"/>
          <w:szCs w:val="24"/>
        </w:rPr>
        <w:t xml:space="preserve"> that changes in the underlying property market fundamentals are sustained over a long horizon, such as improvements in the sector occupancy rates or effective rents</w:t>
      </w:r>
      <w:r w:rsidR="004C60B0">
        <w:rPr>
          <w:sz w:val="24"/>
          <w:szCs w:val="24"/>
        </w:rPr>
        <w:t xml:space="preserve">. </w:t>
      </w:r>
    </w:p>
    <w:p w:rsidR="003C0CCC" w:rsidRDefault="00231242" w:rsidP="001B0CC6">
      <w:pPr>
        <w:spacing w:line="480" w:lineRule="auto"/>
        <w:ind w:firstLine="720"/>
        <w:jc w:val="both"/>
        <w:rPr>
          <w:sz w:val="24"/>
          <w:szCs w:val="24"/>
        </w:rPr>
      </w:pPr>
      <w:r>
        <w:rPr>
          <w:sz w:val="24"/>
          <w:szCs w:val="24"/>
        </w:rPr>
        <w:t xml:space="preserve">Figure </w:t>
      </w:r>
      <w:r w:rsidR="005156CB">
        <w:rPr>
          <w:sz w:val="24"/>
          <w:szCs w:val="24"/>
        </w:rPr>
        <w:t>4</w:t>
      </w:r>
      <w:r>
        <w:rPr>
          <w:sz w:val="24"/>
          <w:szCs w:val="24"/>
        </w:rPr>
        <w:t xml:space="preserve"> </w:t>
      </w:r>
      <w:r w:rsidR="001A6BFE">
        <w:rPr>
          <w:sz w:val="24"/>
          <w:szCs w:val="24"/>
        </w:rPr>
        <w:t xml:space="preserve">illustrates </w:t>
      </w:r>
      <w:r>
        <w:rPr>
          <w:sz w:val="24"/>
          <w:szCs w:val="24"/>
        </w:rPr>
        <w:t xml:space="preserve">the response function for </w:t>
      </w:r>
      <w:r w:rsidR="005156CB">
        <w:rPr>
          <w:sz w:val="24"/>
          <w:szCs w:val="24"/>
        </w:rPr>
        <w:t xml:space="preserve">Capital Gains </w:t>
      </w:r>
      <w:r>
        <w:rPr>
          <w:sz w:val="24"/>
          <w:szCs w:val="24"/>
        </w:rPr>
        <w:t>following the orthogonalized impulses</w:t>
      </w:r>
      <w:r w:rsidR="005156CB">
        <w:rPr>
          <w:sz w:val="24"/>
          <w:szCs w:val="24"/>
        </w:rPr>
        <w:t xml:space="preserve"> of Income Returns (in Panel A), CRE Tightening (in Panel B), and Capital Gains (in Panel C)</w:t>
      </w:r>
      <w:r w:rsidR="004C60B0">
        <w:rPr>
          <w:sz w:val="24"/>
          <w:szCs w:val="24"/>
        </w:rPr>
        <w:t xml:space="preserve">. </w:t>
      </w:r>
      <w:r>
        <w:rPr>
          <w:sz w:val="24"/>
          <w:szCs w:val="24"/>
        </w:rPr>
        <w:t xml:space="preserve">A one standard deviation shock to Income Returns </w:t>
      </w:r>
      <w:r w:rsidR="005156CB">
        <w:rPr>
          <w:sz w:val="24"/>
          <w:szCs w:val="24"/>
        </w:rPr>
        <w:t xml:space="preserve">has essentially zero impact on Capital Gains – </w:t>
      </w:r>
      <w:r>
        <w:rPr>
          <w:sz w:val="24"/>
          <w:szCs w:val="24"/>
        </w:rPr>
        <w:t xml:space="preserve">even </w:t>
      </w:r>
      <w:r w:rsidR="00C51EF0">
        <w:rPr>
          <w:sz w:val="24"/>
          <w:szCs w:val="24"/>
        </w:rPr>
        <w:t xml:space="preserve">up to </w:t>
      </w:r>
      <w:r w:rsidR="001C1B5A">
        <w:rPr>
          <w:sz w:val="24"/>
          <w:szCs w:val="24"/>
        </w:rPr>
        <w:t xml:space="preserve">three years </w:t>
      </w:r>
      <w:r>
        <w:rPr>
          <w:sz w:val="24"/>
          <w:szCs w:val="24"/>
        </w:rPr>
        <w:t>after</w:t>
      </w:r>
      <w:r w:rsidR="004C60B0">
        <w:rPr>
          <w:sz w:val="24"/>
          <w:szCs w:val="24"/>
        </w:rPr>
        <w:t xml:space="preserve">. </w:t>
      </w:r>
      <w:r w:rsidR="001B0CC6">
        <w:rPr>
          <w:sz w:val="24"/>
          <w:szCs w:val="24"/>
        </w:rPr>
        <w:t xml:space="preserve">In all three models, a one standard deviation shock to </w:t>
      </w:r>
      <w:r w:rsidR="001B0CC6" w:rsidRPr="001B0CC6">
        <w:rPr>
          <w:sz w:val="24"/>
          <w:szCs w:val="24"/>
        </w:rPr>
        <w:t xml:space="preserve">CRE </w:t>
      </w:r>
      <w:r w:rsidR="001C1B5A" w:rsidRPr="001B0CC6">
        <w:rPr>
          <w:sz w:val="24"/>
          <w:szCs w:val="24"/>
        </w:rPr>
        <w:t xml:space="preserve">Tightening </w:t>
      </w:r>
      <w:r w:rsidR="001B0CC6">
        <w:rPr>
          <w:sz w:val="24"/>
          <w:szCs w:val="24"/>
        </w:rPr>
        <w:t>(Panel B) has a negative and significant impact on Capital Gains, pulling</w:t>
      </w:r>
      <w:r w:rsidR="001C1B5A">
        <w:rPr>
          <w:sz w:val="24"/>
          <w:szCs w:val="24"/>
        </w:rPr>
        <w:t xml:space="preserve"> down </w:t>
      </w:r>
      <w:r w:rsidR="001B0CC6">
        <w:rPr>
          <w:sz w:val="24"/>
          <w:szCs w:val="24"/>
        </w:rPr>
        <w:t xml:space="preserve">asset prices </w:t>
      </w:r>
      <w:r w:rsidR="001C1B5A">
        <w:rPr>
          <w:sz w:val="24"/>
          <w:szCs w:val="24"/>
        </w:rPr>
        <w:t xml:space="preserve">by -0.1 to -0.2 standard deviations </w:t>
      </w:r>
      <w:r w:rsidR="001B0CC6">
        <w:rPr>
          <w:sz w:val="24"/>
          <w:szCs w:val="24"/>
        </w:rPr>
        <w:t xml:space="preserve">(24 to 48 basis points per quarter) </w:t>
      </w:r>
      <w:r w:rsidR="001C1B5A">
        <w:rPr>
          <w:sz w:val="24"/>
          <w:szCs w:val="24"/>
        </w:rPr>
        <w:t xml:space="preserve">over an extended </w:t>
      </w:r>
      <w:r w:rsidR="001B0CC6">
        <w:rPr>
          <w:sz w:val="24"/>
          <w:szCs w:val="24"/>
        </w:rPr>
        <w:t>horizon</w:t>
      </w:r>
      <w:r w:rsidR="001C1B5A">
        <w:rPr>
          <w:sz w:val="24"/>
          <w:szCs w:val="24"/>
        </w:rPr>
        <w:t>.</w:t>
      </w:r>
      <w:r w:rsidR="001B0CC6">
        <w:rPr>
          <w:sz w:val="24"/>
          <w:szCs w:val="24"/>
        </w:rPr>
        <w:t xml:space="preserve"> </w:t>
      </w:r>
      <w:r w:rsidR="001C1B5A">
        <w:rPr>
          <w:sz w:val="24"/>
          <w:szCs w:val="24"/>
        </w:rPr>
        <w:t xml:space="preserve">In </w:t>
      </w:r>
      <w:r w:rsidR="001B0CC6">
        <w:rPr>
          <w:sz w:val="24"/>
          <w:szCs w:val="24"/>
        </w:rPr>
        <w:t>Panel C</w:t>
      </w:r>
      <w:r w:rsidR="001C1B5A">
        <w:rPr>
          <w:sz w:val="24"/>
          <w:szCs w:val="24"/>
        </w:rPr>
        <w:t>, i</w:t>
      </w:r>
      <w:r w:rsidR="003C0CCC">
        <w:rPr>
          <w:sz w:val="24"/>
          <w:szCs w:val="24"/>
        </w:rPr>
        <w:t xml:space="preserve">ncreases in </w:t>
      </w:r>
      <w:r w:rsidR="001B0CC6">
        <w:rPr>
          <w:sz w:val="24"/>
          <w:szCs w:val="24"/>
        </w:rPr>
        <w:t>C</w:t>
      </w:r>
      <w:r w:rsidR="003C0CCC">
        <w:rPr>
          <w:sz w:val="24"/>
          <w:szCs w:val="24"/>
        </w:rPr>
        <w:t xml:space="preserve">apital </w:t>
      </w:r>
      <w:r w:rsidR="001B0CC6">
        <w:rPr>
          <w:sz w:val="24"/>
          <w:szCs w:val="24"/>
        </w:rPr>
        <w:t>G</w:t>
      </w:r>
      <w:r w:rsidR="003C0CCC">
        <w:rPr>
          <w:sz w:val="24"/>
          <w:szCs w:val="24"/>
        </w:rPr>
        <w:t>ains in a given period are positively related to the prior period increase</w:t>
      </w:r>
      <w:r w:rsidR="004C60B0">
        <w:rPr>
          <w:sz w:val="24"/>
          <w:szCs w:val="24"/>
        </w:rPr>
        <w:t xml:space="preserve">. </w:t>
      </w:r>
      <w:r w:rsidR="001B0CC6">
        <w:rPr>
          <w:sz w:val="24"/>
          <w:szCs w:val="24"/>
        </w:rPr>
        <w:t xml:space="preserve">Apart from its own past realized value, </w:t>
      </w:r>
      <w:r w:rsidR="001C1B5A">
        <w:rPr>
          <w:sz w:val="24"/>
          <w:szCs w:val="24"/>
        </w:rPr>
        <w:t xml:space="preserve">Capital </w:t>
      </w:r>
      <w:r w:rsidR="001B0CC6">
        <w:rPr>
          <w:sz w:val="24"/>
          <w:szCs w:val="24"/>
        </w:rPr>
        <w:t>G</w:t>
      </w:r>
      <w:r w:rsidR="001C1B5A">
        <w:rPr>
          <w:sz w:val="24"/>
          <w:szCs w:val="24"/>
        </w:rPr>
        <w:t>ains are not determined by yields in the underlying property market</w:t>
      </w:r>
      <w:r w:rsidR="001B0CC6">
        <w:rPr>
          <w:sz w:val="24"/>
          <w:szCs w:val="24"/>
        </w:rPr>
        <w:t xml:space="preserve"> (i.e., Income Returns)</w:t>
      </w:r>
      <w:r w:rsidR="00750EEA">
        <w:rPr>
          <w:sz w:val="24"/>
          <w:szCs w:val="24"/>
        </w:rPr>
        <w:t>.</w:t>
      </w:r>
      <w:r w:rsidR="001C1B5A">
        <w:rPr>
          <w:sz w:val="24"/>
          <w:szCs w:val="24"/>
        </w:rPr>
        <w:t xml:space="preserve"> </w:t>
      </w:r>
      <w:r w:rsidR="00750EEA">
        <w:rPr>
          <w:sz w:val="24"/>
          <w:szCs w:val="24"/>
        </w:rPr>
        <w:t>I</w:t>
      </w:r>
      <w:r w:rsidR="001B0CC6">
        <w:rPr>
          <w:sz w:val="24"/>
          <w:szCs w:val="24"/>
        </w:rPr>
        <w:t>nstead</w:t>
      </w:r>
      <w:r w:rsidR="0027666C">
        <w:rPr>
          <w:sz w:val="24"/>
          <w:szCs w:val="24"/>
        </w:rPr>
        <w:t>,</w:t>
      </w:r>
      <w:r w:rsidR="001B0CC6">
        <w:rPr>
          <w:sz w:val="24"/>
          <w:szCs w:val="24"/>
        </w:rPr>
        <w:t xml:space="preserve"> changes in CRE T</w:t>
      </w:r>
      <w:r w:rsidR="001C1B5A">
        <w:rPr>
          <w:sz w:val="24"/>
          <w:szCs w:val="24"/>
        </w:rPr>
        <w:t xml:space="preserve">ightening plays the central role in affecting </w:t>
      </w:r>
      <w:r w:rsidR="001B0CC6">
        <w:rPr>
          <w:sz w:val="24"/>
          <w:szCs w:val="24"/>
        </w:rPr>
        <w:t>C</w:t>
      </w:r>
      <w:r w:rsidR="001C1B5A">
        <w:rPr>
          <w:sz w:val="24"/>
          <w:szCs w:val="24"/>
        </w:rPr>
        <w:t xml:space="preserve">apital </w:t>
      </w:r>
      <w:r w:rsidR="001B0CC6">
        <w:rPr>
          <w:sz w:val="24"/>
          <w:szCs w:val="24"/>
        </w:rPr>
        <w:t>G</w:t>
      </w:r>
      <w:r w:rsidR="001C1B5A">
        <w:rPr>
          <w:sz w:val="24"/>
          <w:szCs w:val="24"/>
        </w:rPr>
        <w:t xml:space="preserve">ains outcomes </w:t>
      </w:r>
      <w:r w:rsidR="0027666C">
        <w:rPr>
          <w:sz w:val="24"/>
          <w:szCs w:val="24"/>
        </w:rPr>
        <w:t xml:space="preserve">– </w:t>
      </w:r>
      <w:r w:rsidR="001C1B5A">
        <w:rPr>
          <w:sz w:val="24"/>
          <w:szCs w:val="24"/>
        </w:rPr>
        <w:t xml:space="preserve">with </w:t>
      </w:r>
      <w:r w:rsidR="009638BE">
        <w:rPr>
          <w:sz w:val="24"/>
          <w:szCs w:val="24"/>
        </w:rPr>
        <w:t xml:space="preserve">lasting </w:t>
      </w:r>
      <w:r w:rsidR="001C1B5A">
        <w:rPr>
          <w:sz w:val="24"/>
          <w:szCs w:val="24"/>
        </w:rPr>
        <w:t>effects.</w:t>
      </w:r>
    </w:p>
    <w:p w:rsidR="00231242" w:rsidRDefault="003C0CCC" w:rsidP="000D3C5D">
      <w:pPr>
        <w:spacing w:line="480" w:lineRule="auto"/>
        <w:jc w:val="both"/>
        <w:rPr>
          <w:sz w:val="24"/>
          <w:szCs w:val="24"/>
        </w:rPr>
      </w:pPr>
      <w:r>
        <w:rPr>
          <w:sz w:val="24"/>
          <w:szCs w:val="24"/>
        </w:rPr>
        <w:tab/>
        <w:t>The fully endogenous</w:t>
      </w:r>
      <w:r w:rsidR="00C20839">
        <w:rPr>
          <w:sz w:val="24"/>
          <w:szCs w:val="24"/>
        </w:rPr>
        <w:t xml:space="preserve"> VAR</w:t>
      </w:r>
      <w:r w:rsidR="001B0CC6">
        <w:rPr>
          <w:sz w:val="24"/>
          <w:szCs w:val="24"/>
        </w:rPr>
        <w:t xml:space="preserve"> and VECM</w:t>
      </w:r>
      <w:r>
        <w:rPr>
          <w:sz w:val="24"/>
          <w:szCs w:val="24"/>
        </w:rPr>
        <w:t xml:space="preserve"> specification</w:t>
      </w:r>
      <w:r w:rsidR="001B0CC6">
        <w:rPr>
          <w:sz w:val="24"/>
          <w:szCs w:val="24"/>
        </w:rPr>
        <w:t>s enable</w:t>
      </w:r>
      <w:r>
        <w:rPr>
          <w:sz w:val="24"/>
          <w:szCs w:val="24"/>
        </w:rPr>
        <w:t xml:space="preserve"> variance decomposition</w:t>
      </w:r>
      <w:r w:rsidR="001B0CC6">
        <w:rPr>
          <w:sz w:val="24"/>
          <w:szCs w:val="24"/>
        </w:rPr>
        <w:t>s</w:t>
      </w:r>
      <w:r w:rsidR="004C60B0">
        <w:rPr>
          <w:sz w:val="24"/>
          <w:szCs w:val="24"/>
        </w:rPr>
        <w:t xml:space="preserve">. </w:t>
      </w:r>
      <w:r>
        <w:rPr>
          <w:sz w:val="24"/>
          <w:szCs w:val="24"/>
        </w:rPr>
        <w:t xml:space="preserve">Table </w:t>
      </w:r>
      <w:r w:rsidR="001B0CC6">
        <w:rPr>
          <w:sz w:val="24"/>
          <w:szCs w:val="24"/>
        </w:rPr>
        <w:t>6</w:t>
      </w:r>
      <w:r>
        <w:rPr>
          <w:sz w:val="24"/>
          <w:szCs w:val="24"/>
        </w:rPr>
        <w:t xml:space="preserve"> reports the 4, 8</w:t>
      </w:r>
      <w:r w:rsidR="00FF5F8C">
        <w:rPr>
          <w:sz w:val="24"/>
          <w:szCs w:val="24"/>
        </w:rPr>
        <w:t>,</w:t>
      </w:r>
      <w:r>
        <w:rPr>
          <w:sz w:val="24"/>
          <w:szCs w:val="24"/>
        </w:rPr>
        <w:t xml:space="preserve"> and 12 quarter lead prediction errors that are explained by each </w:t>
      </w:r>
      <w:r w:rsidR="00A40C76">
        <w:rPr>
          <w:sz w:val="24"/>
          <w:szCs w:val="24"/>
        </w:rPr>
        <w:t>endogenous measure</w:t>
      </w:r>
      <w:r w:rsidR="004C60B0">
        <w:rPr>
          <w:sz w:val="24"/>
          <w:szCs w:val="24"/>
        </w:rPr>
        <w:t xml:space="preserve">. </w:t>
      </w:r>
      <w:r w:rsidR="00231242">
        <w:rPr>
          <w:sz w:val="24"/>
          <w:szCs w:val="24"/>
        </w:rPr>
        <w:t>Volatility in Income Returns is explai</w:t>
      </w:r>
      <w:r w:rsidR="00FF5F8C">
        <w:rPr>
          <w:sz w:val="24"/>
          <w:szCs w:val="24"/>
        </w:rPr>
        <w:t>ned largely by its own variance</w:t>
      </w:r>
      <w:r w:rsidR="00231242">
        <w:rPr>
          <w:sz w:val="24"/>
          <w:szCs w:val="24"/>
        </w:rPr>
        <w:t xml:space="preserve"> and also by volatility in Capital Gains</w:t>
      </w:r>
      <w:r w:rsidR="004C60B0">
        <w:rPr>
          <w:sz w:val="24"/>
          <w:szCs w:val="24"/>
        </w:rPr>
        <w:t xml:space="preserve">. </w:t>
      </w:r>
      <w:r w:rsidR="00231242">
        <w:rPr>
          <w:sz w:val="24"/>
          <w:szCs w:val="24"/>
        </w:rPr>
        <w:t>Over a one- to three-year horizon, 2</w:t>
      </w:r>
      <w:r w:rsidR="001B0CC6">
        <w:rPr>
          <w:sz w:val="24"/>
          <w:szCs w:val="24"/>
        </w:rPr>
        <w:t>8</w:t>
      </w:r>
      <w:r w:rsidR="00231242">
        <w:rPr>
          <w:sz w:val="24"/>
          <w:szCs w:val="24"/>
        </w:rPr>
        <w:t xml:space="preserve"> to </w:t>
      </w:r>
      <w:r w:rsidR="001B0CC6">
        <w:rPr>
          <w:sz w:val="24"/>
          <w:szCs w:val="24"/>
        </w:rPr>
        <w:t>54 percent</w:t>
      </w:r>
      <w:r w:rsidR="00231242">
        <w:rPr>
          <w:sz w:val="24"/>
          <w:szCs w:val="24"/>
        </w:rPr>
        <w:t xml:space="preserve"> of the variance in Income Returns is explained by fluctuations in Capital Gains</w:t>
      </w:r>
      <w:r w:rsidR="004C60B0">
        <w:rPr>
          <w:sz w:val="24"/>
          <w:szCs w:val="24"/>
        </w:rPr>
        <w:t xml:space="preserve">. </w:t>
      </w:r>
      <w:r w:rsidR="00231242">
        <w:rPr>
          <w:sz w:val="24"/>
          <w:szCs w:val="24"/>
        </w:rPr>
        <w:t xml:space="preserve">By comparison, volatility in </w:t>
      </w:r>
      <w:r w:rsidR="001B0CC6">
        <w:rPr>
          <w:sz w:val="24"/>
          <w:szCs w:val="24"/>
        </w:rPr>
        <w:t xml:space="preserve">CRE </w:t>
      </w:r>
      <w:r w:rsidR="00231242">
        <w:rPr>
          <w:sz w:val="24"/>
          <w:szCs w:val="24"/>
        </w:rPr>
        <w:t xml:space="preserve">Tightening is predominantly explained by its own </w:t>
      </w:r>
      <w:r w:rsidR="001B03FE">
        <w:rPr>
          <w:sz w:val="24"/>
          <w:szCs w:val="24"/>
        </w:rPr>
        <w:t xml:space="preserve">preceding </w:t>
      </w:r>
      <w:r w:rsidR="00231242">
        <w:rPr>
          <w:sz w:val="24"/>
          <w:szCs w:val="24"/>
        </w:rPr>
        <w:t>realized value</w:t>
      </w:r>
      <w:r w:rsidR="004C60B0">
        <w:rPr>
          <w:sz w:val="24"/>
          <w:szCs w:val="24"/>
        </w:rPr>
        <w:t xml:space="preserve">. </w:t>
      </w:r>
      <w:r w:rsidR="001B0CC6">
        <w:rPr>
          <w:sz w:val="24"/>
          <w:szCs w:val="24"/>
        </w:rPr>
        <w:t>N</w:t>
      </w:r>
      <w:r w:rsidR="00231242">
        <w:rPr>
          <w:sz w:val="24"/>
          <w:szCs w:val="24"/>
        </w:rPr>
        <w:t xml:space="preserve">o less than </w:t>
      </w:r>
      <w:r w:rsidR="001B0CC6">
        <w:rPr>
          <w:sz w:val="24"/>
          <w:szCs w:val="24"/>
        </w:rPr>
        <w:t xml:space="preserve">77 percent </w:t>
      </w:r>
      <w:r w:rsidR="00231242">
        <w:rPr>
          <w:sz w:val="24"/>
          <w:szCs w:val="24"/>
        </w:rPr>
        <w:t xml:space="preserve">of the prediction error for </w:t>
      </w:r>
      <w:r w:rsidR="001B0CC6">
        <w:rPr>
          <w:sz w:val="24"/>
          <w:szCs w:val="24"/>
        </w:rPr>
        <w:t>CRE T</w:t>
      </w:r>
      <w:r w:rsidR="00231242">
        <w:rPr>
          <w:sz w:val="24"/>
          <w:szCs w:val="24"/>
        </w:rPr>
        <w:t xml:space="preserve">ightening is explained by </w:t>
      </w:r>
      <w:r w:rsidR="001B0CC6">
        <w:rPr>
          <w:sz w:val="24"/>
          <w:szCs w:val="24"/>
        </w:rPr>
        <w:t xml:space="preserve">past volatility </w:t>
      </w:r>
      <w:r w:rsidR="00231242">
        <w:rPr>
          <w:sz w:val="24"/>
          <w:szCs w:val="24"/>
        </w:rPr>
        <w:t xml:space="preserve">in </w:t>
      </w:r>
      <w:r w:rsidR="001B0CC6">
        <w:rPr>
          <w:sz w:val="24"/>
          <w:szCs w:val="24"/>
        </w:rPr>
        <w:t>CRE T</w:t>
      </w:r>
      <w:r w:rsidR="00231242">
        <w:rPr>
          <w:sz w:val="24"/>
          <w:szCs w:val="24"/>
        </w:rPr>
        <w:t>ightening</w:t>
      </w:r>
      <w:r w:rsidR="004C60B0">
        <w:rPr>
          <w:sz w:val="24"/>
          <w:szCs w:val="24"/>
        </w:rPr>
        <w:t xml:space="preserve">. </w:t>
      </w:r>
      <w:r w:rsidR="00231242">
        <w:rPr>
          <w:sz w:val="24"/>
          <w:szCs w:val="24"/>
        </w:rPr>
        <w:t xml:space="preserve">This result suggests that </w:t>
      </w:r>
      <w:r w:rsidR="001B0CC6">
        <w:rPr>
          <w:sz w:val="24"/>
          <w:szCs w:val="24"/>
        </w:rPr>
        <w:t>CRE T</w:t>
      </w:r>
      <w:r w:rsidR="00231242">
        <w:rPr>
          <w:sz w:val="24"/>
          <w:szCs w:val="24"/>
        </w:rPr>
        <w:t>ightening is largely decided at a macroeconomic and policy level, rather than as responsive to changes in the asset market itself</w:t>
      </w:r>
      <w:r w:rsidR="004C60B0">
        <w:rPr>
          <w:sz w:val="24"/>
          <w:szCs w:val="24"/>
        </w:rPr>
        <w:t xml:space="preserve">. </w:t>
      </w:r>
      <w:r w:rsidR="00231242">
        <w:rPr>
          <w:sz w:val="24"/>
          <w:szCs w:val="24"/>
        </w:rPr>
        <w:t xml:space="preserve">For </w:t>
      </w:r>
      <w:r w:rsidR="001B0CC6">
        <w:rPr>
          <w:sz w:val="24"/>
          <w:szCs w:val="24"/>
        </w:rPr>
        <w:t>C</w:t>
      </w:r>
      <w:r w:rsidR="00231242">
        <w:rPr>
          <w:sz w:val="24"/>
          <w:szCs w:val="24"/>
        </w:rPr>
        <w:t xml:space="preserve">apital </w:t>
      </w:r>
      <w:r w:rsidR="001B0CC6">
        <w:rPr>
          <w:sz w:val="24"/>
          <w:szCs w:val="24"/>
        </w:rPr>
        <w:t>G</w:t>
      </w:r>
      <w:r w:rsidR="00231242">
        <w:rPr>
          <w:sz w:val="24"/>
          <w:szCs w:val="24"/>
        </w:rPr>
        <w:t xml:space="preserve">ains, volatility in </w:t>
      </w:r>
      <w:r w:rsidR="001B0CC6">
        <w:rPr>
          <w:sz w:val="24"/>
          <w:szCs w:val="24"/>
        </w:rPr>
        <w:t>CRE T</w:t>
      </w:r>
      <w:r w:rsidR="00231242">
        <w:rPr>
          <w:sz w:val="24"/>
          <w:szCs w:val="24"/>
        </w:rPr>
        <w:t>ightening has long-lasting effects</w:t>
      </w:r>
      <w:r w:rsidR="004C60B0">
        <w:rPr>
          <w:sz w:val="24"/>
          <w:szCs w:val="24"/>
        </w:rPr>
        <w:t xml:space="preserve">. </w:t>
      </w:r>
      <w:r w:rsidR="00231242">
        <w:rPr>
          <w:sz w:val="24"/>
          <w:szCs w:val="24"/>
        </w:rPr>
        <w:t>Up to 3</w:t>
      </w:r>
      <w:r w:rsidR="001B0CC6">
        <w:rPr>
          <w:sz w:val="24"/>
          <w:szCs w:val="24"/>
        </w:rPr>
        <w:t>7 percent</w:t>
      </w:r>
      <w:r w:rsidR="00231242">
        <w:rPr>
          <w:sz w:val="24"/>
          <w:szCs w:val="24"/>
        </w:rPr>
        <w:t xml:space="preserve"> of the variance in </w:t>
      </w:r>
      <w:r w:rsidR="0027666C">
        <w:rPr>
          <w:sz w:val="24"/>
          <w:szCs w:val="24"/>
        </w:rPr>
        <w:t>C</w:t>
      </w:r>
      <w:r w:rsidR="00231242">
        <w:rPr>
          <w:sz w:val="24"/>
          <w:szCs w:val="24"/>
        </w:rPr>
        <w:t xml:space="preserve">apital </w:t>
      </w:r>
      <w:r w:rsidR="0027666C">
        <w:rPr>
          <w:sz w:val="24"/>
          <w:szCs w:val="24"/>
        </w:rPr>
        <w:t>G</w:t>
      </w:r>
      <w:r w:rsidR="00231242">
        <w:rPr>
          <w:sz w:val="24"/>
          <w:szCs w:val="24"/>
        </w:rPr>
        <w:t xml:space="preserve">ains is explained by changes in credit policy </w:t>
      </w:r>
      <w:r w:rsidR="00CF5D7B">
        <w:rPr>
          <w:sz w:val="24"/>
          <w:szCs w:val="24"/>
        </w:rPr>
        <w:t xml:space="preserve">over </w:t>
      </w:r>
      <w:r w:rsidR="0067481C">
        <w:rPr>
          <w:sz w:val="24"/>
          <w:szCs w:val="24"/>
        </w:rPr>
        <w:t xml:space="preserve">a </w:t>
      </w:r>
      <w:r w:rsidR="00CF5D7B">
        <w:rPr>
          <w:sz w:val="24"/>
          <w:szCs w:val="24"/>
        </w:rPr>
        <w:t>subsequent 12 quarter period</w:t>
      </w:r>
      <w:r w:rsidR="004C60B0">
        <w:rPr>
          <w:sz w:val="24"/>
          <w:szCs w:val="24"/>
        </w:rPr>
        <w:t xml:space="preserve">. </w:t>
      </w:r>
    </w:p>
    <w:p w:rsidR="000D3C5D" w:rsidRPr="00537541" w:rsidRDefault="00231242" w:rsidP="00C20839">
      <w:pPr>
        <w:spacing w:line="480" w:lineRule="auto"/>
        <w:rPr>
          <w:sz w:val="24"/>
          <w:szCs w:val="24"/>
        </w:rPr>
      </w:pPr>
      <w:r>
        <w:rPr>
          <w:sz w:val="24"/>
          <w:szCs w:val="24"/>
        </w:rPr>
        <w:tab/>
      </w:r>
      <w:r w:rsidR="00A9045F">
        <w:rPr>
          <w:sz w:val="24"/>
          <w:szCs w:val="24"/>
        </w:rPr>
        <w:tab/>
      </w:r>
      <w:r w:rsidR="008264B3">
        <w:rPr>
          <w:sz w:val="24"/>
          <w:szCs w:val="24"/>
        </w:rPr>
        <w:t xml:space="preserve"> </w:t>
      </w:r>
    </w:p>
    <w:p w:rsidR="001C1B5A" w:rsidRDefault="001C1B5A" w:rsidP="00C20839">
      <w:pPr>
        <w:spacing w:line="480" w:lineRule="auto"/>
        <w:rPr>
          <w:b/>
          <w:sz w:val="24"/>
          <w:szCs w:val="24"/>
        </w:rPr>
      </w:pPr>
      <w:r w:rsidRPr="00537541">
        <w:rPr>
          <w:b/>
          <w:sz w:val="24"/>
          <w:szCs w:val="24"/>
        </w:rPr>
        <w:t xml:space="preserve">V. </w:t>
      </w:r>
      <w:r>
        <w:rPr>
          <w:b/>
          <w:sz w:val="24"/>
          <w:szCs w:val="24"/>
        </w:rPr>
        <w:t>Conclusions</w:t>
      </w:r>
    </w:p>
    <w:p w:rsidR="001B03FE" w:rsidRDefault="001C1B5A" w:rsidP="000D3C5D">
      <w:pPr>
        <w:spacing w:line="480" w:lineRule="auto"/>
        <w:jc w:val="both"/>
        <w:rPr>
          <w:sz w:val="24"/>
          <w:szCs w:val="24"/>
        </w:rPr>
      </w:pPr>
      <w:r>
        <w:rPr>
          <w:sz w:val="24"/>
          <w:szCs w:val="24"/>
        </w:rPr>
        <w:t xml:space="preserve">Conventional </w:t>
      </w:r>
      <w:r w:rsidR="004C0080">
        <w:rPr>
          <w:sz w:val="24"/>
          <w:szCs w:val="24"/>
        </w:rPr>
        <w:t xml:space="preserve">wisdom suggests that asset prices should respond to income yields and should exhibit some sensitivity to transaction volume in a highly illiquid market, such as </w:t>
      </w:r>
      <w:r w:rsidR="00CE7C0A">
        <w:rPr>
          <w:sz w:val="24"/>
          <w:szCs w:val="24"/>
        </w:rPr>
        <w:t>CRE</w:t>
      </w:r>
      <w:r w:rsidR="004C60B0">
        <w:rPr>
          <w:sz w:val="24"/>
          <w:szCs w:val="24"/>
        </w:rPr>
        <w:t xml:space="preserve">. </w:t>
      </w:r>
      <w:r w:rsidR="004C0080">
        <w:rPr>
          <w:sz w:val="24"/>
          <w:szCs w:val="24"/>
        </w:rPr>
        <w:t>Evidence provided in this study fails to support either of these assertions</w:t>
      </w:r>
      <w:r w:rsidR="004C60B0">
        <w:rPr>
          <w:sz w:val="24"/>
          <w:szCs w:val="24"/>
        </w:rPr>
        <w:t xml:space="preserve">. </w:t>
      </w:r>
      <w:r w:rsidR="004C0080">
        <w:rPr>
          <w:sz w:val="24"/>
          <w:szCs w:val="24"/>
        </w:rPr>
        <w:t xml:space="preserve">Capital gains in </w:t>
      </w:r>
      <w:r w:rsidR="00CE7C0A">
        <w:rPr>
          <w:sz w:val="24"/>
          <w:szCs w:val="24"/>
        </w:rPr>
        <w:t>CRE</w:t>
      </w:r>
      <w:r w:rsidR="004C0080">
        <w:rPr>
          <w:sz w:val="24"/>
          <w:szCs w:val="24"/>
        </w:rPr>
        <w:t xml:space="preserve"> are largely unresponsive to changes in income returns and transaction volume</w:t>
      </w:r>
      <w:r w:rsidR="004C60B0">
        <w:rPr>
          <w:sz w:val="24"/>
          <w:szCs w:val="24"/>
        </w:rPr>
        <w:t xml:space="preserve">. </w:t>
      </w:r>
      <w:r w:rsidR="004C0080">
        <w:rPr>
          <w:sz w:val="24"/>
          <w:szCs w:val="24"/>
        </w:rPr>
        <w:t>Instead, the illiquid nature of the asset market perpetuates periods of autocorrelation in capital gains, creating an inefficient market characterized by slow and prolonged pricing cycles</w:t>
      </w:r>
      <w:r w:rsidR="004C60B0">
        <w:rPr>
          <w:sz w:val="24"/>
          <w:szCs w:val="24"/>
        </w:rPr>
        <w:t xml:space="preserve">. </w:t>
      </w:r>
      <w:r w:rsidR="001B03FE">
        <w:rPr>
          <w:sz w:val="24"/>
          <w:szCs w:val="24"/>
        </w:rPr>
        <w:t>Apart from return-chasing behavior, t</w:t>
      </w:r>
      <w:r w:rsidR="004C0080">
        <w:rPr>
          <w:sz w:val="24"/>
          <w:szCs w:val="24"/>
        </w:rPr>
        <w:t xml:space="preserve">he dominant factor affecting </w:t>
      </w:r>
      <w:r w:rsidR="00CE7C0A">
        <w:rPr>
          <w:sz w:val="24"/>
          <w:szCs w:val="24"/>
        </w:rPr>
        <w:t>CRE</w:t>
      </w:r>
      <w:r w:rsidR="004C0080">
        <w:rPr>
          <w:sz w:val="24"/>
          <w:szCs w:val="24"/>
        </w:rPr>
        <w:t xml:space="preserve"> pricing cycles </w:t>
      </w:r>
      <w:r w:rsidR="00CE7C0A">
        <w:rPr>
          <w:sz w:val="24"/>
          <w:szCs w:val="24"/>
        </w:rPr>
        <w:t xml:space="preserve">is </w:t>
      </w:r>
      <w:r w:rsidR="004C0080">
        <w:rPr>
          <w:sz w:val="24"/>
          <w:szCs w:val="24"/>
        </w:rPr>
        <w:t xml:space="preserve">credit policy, accounting for up to </w:t>
      </w:r>
      <w:r w:rsidR="00CE7C0A">
        <w:rPr>
          <w:sz w:val="24"/>
          <w:szCs w:val="24"/>
        </w:rPr>
        <w:t xml:space="preserve">37 percent </w:t>
      </w:r>
      <w:r w:rsidR="004C0080">
        <w:rPr>
          <w:sz w:val="24"/>
          <w:szCs w:val="24"/>
        </w:rPr>
        <w:t>of the prediction error in capital gains</w:t>
      </w:r>
      <w:r w:rsidR="004C60B0">
        <w:rPr>
          <w:sz w:val="24"/>
          <w:szCs w:val="24"/>
        </w:rPr>
        <w:t xml:space="preserve">. </w:t>
      </w:r>
      <w:r w:rsidR="004C0080">
        <w:rPr>
          <w:sz w:val="24"/>
          <w:szCs w:val="24"/>
        </w:rPr>
        <w:t xml:space="preserve">Credit tightening itself is largely unrelated to </w:t>
      </w:r>
      <w:r w:rsidR="00CE7C0A">
        <w:rPr>
          <w:sz w:val="24"/>
          <w:szCs w:val="24"/>
        </w:rPr>
        <w:t>CRE</w:t>
      </w:r>
      <w:r w:rsidR="004C0080">
        <w:rPr>
          <w:sz w:val="24"/>
          <w:szCs w:val="24"/>
        </w:rPr>
        <w:t xml:space="preserve"> fundamentals</w:t>
      </w:r>
      <w:r w:rsidR="004C60B0">
        <w:rPr>
          <w:sz w:val="24"/>
          <w:szCs w:val="24"/>
        </w:rPr>
        <w:t xml:space="preserve">. </w:t>
      </w:r>
    </w:p>
    <w:p w:rsidR="004C0080" w:rsidRDefault="001B03FE" w:rsidP="001B03FE">
      <w:pPr>
        <w:spacing w:line="480" w:lineRule="auto"/>
        <w:ind w:firstLine="720"/>
        <w:jc w:val="both"/>
        <w:rPr>
          <w:sz w:val="24"/>
          <w:szCs w:val="24"/>
        </w:rPr>
      </w:pPr>
      <w:r>
        <w:rPr>
          <w:sz w:val="24"/>
          <w:szCs w:val="24"/>
        </w:rPr>
        <w:t xml:space="preserve">Looseness or tightness in credit policy can be transmitted to CRE asset prices in a number of ways. However, considering evidence that CRE price volatility is affected by credit policy and not transaction volume suggests that </w:t>
      </w:r>
      <w:r w:rsidR="00C77B1D">
        <w:rPr>
          <w:sz w:val="24"/>
          <w:szCs w:val="24"/>
        </w:rPr>
        <w:t>these price</w:t>
      </w:r>
      <w:r>
        <w:rPr>
          <w:sz w:val="24"/>
          <w:szCs w:val="24"/>
        </w:rPr>
        <w:t xml:space="preserve"> effects are not caused by the liquidity channel. Instead, shifts in credit policy</w:t>
      </w:r>
      <w:r w:rsidR="00E90CFE">
        <w:rPr>
          <w:sz w:val="24"/>
          <w:szCs w:val="24"/>
        </w:rPr>
        <w:t xml:space="preserve"> directly</w:t>
      </w:r>
      <w:r>
        <w:rPr>
          <w:sz w:val="24"/>
          <w:szCs w:val="24"/>
        </w:rPr>
        <w:t xml:space="preserve"> affect levered returns for assets sold in a given period, enabling investors to </w:t>
      </w:r>
      <w:r w:rsidR="00E90CFE">
        <w:rPr>
          <w:sz w:val="24"/>
          <w:szCs w:val="24"/>
        </w:rPr>
        <w:t xml:space="preserve">lever up or lever down their valuations </w:t>
      </w:r>
      <w:r w:rsidR="00262566">
        <w:rPr>
          <w:sz w:val="24"/>
          <w:szCs w:val="24"/>
        </w:rPr>
        <w:t xml:space="preserve">on </w:t>
      </w:r>
      <w:r w:rsidR="00E90CFE">
        <w:rPr>
          <w:sz w:val="24"/>
          <w:szCs w:val="24"/>
        </w:rPr>
        <w:t xml:space="preserve">assets available for </w:t>
      </w:r>
      <w:r w:rsidR="00A8014F">
        <w:rPr>
          <w:sz w:val="24"/>
          <w:szCs w:val="24"/>
        </w:rPr>
        <w:t>purchase</w:t>
      </w:r>
      <w:r w:rsidR="00E90CFE">
        <w:rPr>
          <w:sz w:val="24"/>
          <w:szCs w:val="24"/>
        </w:rPr>
        <w:t xml:space="preserve">. Thus, credit policy transmission to CRE prices occurs through the valuation channel rather than the liquidity channel as previously believed. </w:t>
      </w:r>
      <w:r w:rsidR="004C0080">
        <w:rPr>
          <w:sz w:val="24"/>
          <w:szCs w:val="24"/>
        </w:rPr>
        <w:t xml:space="preserve">The results of this study suggest that a more stabilized and consistent credit policy is likely to significantly reduce the magnitude of fluctuations in </w:t>
      </w:r>
      <w:r w:rsidR="00CE7C0A">
        <w:rPr>
          <w:sz w:val="24"/>
          <w:szCs w:val="24"/>
        </w:rPr>
        <w:t>CRE</w:t>
      </w:r>
      <w:r w:rsidR="004C0080">
        <w:rPr>
          <w:sz w:val="24"/>
          <w:szCs w:val="24"/>
        </w:rPr>
        <w:t xml:space="preserve"> pricing spirals</w:t>
      </w:r>
      <w:r w:rsidR="004C60B0">
        <w:rPr>
          <w:sz w:val="24"/>
          <w:szCs w:val="24"/>
        </w:rPr>
        <w:t>.</w:t>
      </w:r>
      <w:r w:rsidR="008264B3">
        <w:rPr>
          <w:sz w:val="24"/>
          <w:szCs w:val="24"/>
        </w:rPr>
        <w:t xml:space="preserve"> </w:t>
      </w:r>
    </w:p>
    <w:p w:rsidR="00855D76" w:rsidRDefault="00855D76">
      <w:pPr>
        <w:overflowPunct/>
        <w:autoSpaceDE/>
        <w:autoSpaceDN/>
        <w:adjustRightInd/>
        <w:spacing w:after="200" w:line="276" w:lineRule="auto"/>
        <w:textAlignment w:val="auto"/>
        <w:rPr>
          <w:sz w:val="24"/>
          <w:szCs w:val="24"/>
        </w:rPr>
      </w:pPr>
      <w:r>
        <w:rPr>
          <w:sz w:val="24"/>
          <w:szCs w:val="24"/>
        </w:rPr>
        <w:br w:type="page"/>
      </w:r>
    </w:p>
    <w:p w:rsidR="004C0080" w:rsidRDefault="00855D76" w:rsidP="00C20839">
      <w:pPr>
        <w:spacing w:line="480" w:lineRule="auto"/>
        <w:rPr>
          <w:b/>
          <w:sz w:val="24"/>
          <w:szCs w:val="24"/>
        </w:rPr>
      </w:pPr>
      <w:r w:rsidRPr="00855D76">
        <w:rPr>
          <w:b/>
          <w:sz w:val="24"/>
          <w:szCs w:val="24"/>
        </w:rPr>
        <w:t xml:space="preserve">Appendix. </w:t>
      </w:r>
      <w:r w:rsidR="0062414F">
        <w:rPr>
          <w:b/>
          <w:sz w:val="24"/>
          <w:szCs w:val="24"/>
        </w:rPr>
        <w:t xml:space="preserve"> </w:t>
      </w:r>
      <w:r w:rsidRPr="00855D76">
        <w:rPr>
          <w:b/>
          <w:sz w:val="24"/>
          <w:szCs w:val="24"/>
        </w:rPr>
        <w:t xml:space="preserve">Alternate Specifications </w:t>
      </w:r>
      <w:r w:rsidR="0062414F">
        <w:rPr>
          <w:b/>
          <w:sz w:val="24"/>
          <w:szCs w:val="24"/>
        </w:rPr>
        <w:t xml:space="preserve">&amp; </w:t>
      </w:r>
      <w:r w:rsidRPr="00855D76">
        <w:rPr>
          <w:b/>
          <w:sz w:val="24"/>
          <w:szCs w:val="24"/>
        </w:rPr>
        <w:t>Data</w:t>
      </w:r>
    </w:p>
    <w:p w:rsidR="00855D76" w:rsidRDefault="00855D76" w:rsidP="00FC78C4">
      <w:pPr>
        <w:spacing w:line="480" w:lineRule="auto"/>
        <w:jc w:val="both"/>
        <w:rPr>
          <w:color w:val="000000"/>
          <w:sz w:val="24"/>
          <w:szCs w:val="24"/>
        </w:rPr>
      </w:pPr>
      <w:r>
        <w:rPr>
          <w:sz w:val="24"/>
          <w:szCs w:val="24"/>
        </w:rPr>
        <w:t xml:space="preserve">For robustness, a few alternative specifications are considered. One concern is that the </w:t>
      </w:r>
      <w:r w:rsidRPr="00855D76">
        <w:rPr>
          <w:sz w:val="24"/>
          <w:szCs w:val="24"/>
        </w:rPr>
        <w:t>Income Returns</w:t>
      </w:r>
      <w:r>
        <w:rPr>
          <w:sz w:val="24"/>
          <w:szCs w:val="24"/>
        </w:rPr>
        <w:t xml:space="preserve"> measure does not directly measure yields, or at least in the way that CRE investors are </w:t>
      </w:r>
      <w:r w:rsidR="00CF3354">
        <w:rPr>
          <w:sz w:val="24"/>
          <w:szCs w:val="24"/>
        </w:rPr>
        <w:t xml:space="preserve">applying yields for investment purpose. Alternate I </w:t>
      </w:r>
      <w:r w:rsidRPr="00855D76">
        <w:rPr>
          <w:sz w:val="24"/>
          <w:szCs w:val="24"/>
        </w:rPr>
        <w:t>consider</w:t>
      </w:r>
      <w:r w:rsidR="00CF3354">
        <w:rPr>
          <w:sz w:val="24"/>
          <w:szCs w:val="24"/>
        </w:rPr>
        <w:t>s</w:t>
      </w:r>
      <w:r w:rsidRPr="00855D76">
        <w:rPr>
          <w:sz w:val="24"/>
          <w:szCs w:val="24"/>
        </w:rPr>
        <w:t xml:space="preserve"> using </w:t>
      </w:r>
      <w:r w:rsidR="00CF3354">
        <w:rPr>
          <w:sz w:val="24"/>
          <w:szCs w:val="24"/>
        </w:rPr>
        <w:t>C</w:t>
      </w:r>
      <w:r w:rsidRPr="00855D76">
        <w:rPr>
          <w:sz w:val="24"/>
          <w:szCs w:val="24"/>
        </w:rPr>
        <w:t xml:space="preserve">ap </w:t>
      </w:r>
      <w:r w:rsidR="00CF3354">
        <w:rPr>
          <w:sz w:val="24"/>
          <w:szCs w:val="24"/>
        </w:rPr>
        <w:t>R</w:t>
      </w:r>
      <w:r w:rsidRPr="00855D76">
        <w:rPr>
          <w:sz w:val="24"/>
          <w:szCs w:val="24"/>
        </w:rPr>
        <w:t>ate</w:t>
      </w:r>
      <w:r w:rsidR="00CF3354">
        <w:rPr>
          <w:sz w:val="24"/>
          <w:szCs w:val="24"/>
        </w:rPr>
        <w:t>s</w:t>
      </w:r>
      <w:r w:rsidRPr="00855D76">
        <w:rPr>
          <w:sz w:val="24"/>
          <w:szCs w:val="24"/>
        </w:rPr>
        <w:t xml:space="preserve"> </w:t>
      </w:r>
      <w:r w:rsidR="00CF3354">
        <w:rPr>
          <w:sz w:val="24"/>
          <w:szCs w:val="24"/>
        </w:rPr>
        <w:t xml:space="preserve">as a substitute for </w:t>
      </w:r>
      <w:r w:rsidRPr="00855D76">
        <w:rPr>
          <w:sz w:val="24"/>
          <w:szCs w:val="24"/>
        </w:rPr>
        <w:t>Income Returns</w:t>
      </w:r>
      <w:r w:rsidR="00CF3354">
        <w:rPr>
          <w:sz w:val="24"/>
          <w:szCs w:val="24"/>
        </w:rPr>
        <w:t xml:space="preserve">, which </w:t>
      </w:r>
      <w:r w:rsidR="00540971">
        <w:rPr>
          <w:sz w:val="24"/>
          <w:szCs w:val="24"/>
        </w:rPr>
        <w:t xml:space="preserve">offers a linkage to </w:t>
      </w:r>
      <w:r w:rsidR="00CF3354" w:rsidRPr="00855D76">
        <w:rPr>
          <w:sz w:val="24"/>
          <w:szCs w:val="24"/>
        </w:rPr>
        <w:t xml:space="preserve">property market </w:t>
      </w:r>
      <w:r w:rsidR="00CF3354">
        <w:rPr>
          <w:sz w:val="24"/>
          <w:szCs w:val="24"/>
        </w:rPr>
        <w:t xml:space="preserve">effects </w:t>
      </w:r>
      <w:r w:rsidR="00540971">
        <w:rPr>
          <w:sz w:val="24"/>
          <w:szCs w:val="24"/>
        </w:rPr>
        <w:t xml:space="preserve">that is </w:t>
      </w:r>
      <w:r w:rsidR="00CF3354" w:rsidRPr="00855D76">
        <w:rPr>
          <w:sz w:val="24"/>
          <w:szCs w:val="24"/>
        </w:rPr>
        <w:t xml:space="preserve">more </w:t>
      </w:r>
      <w:r w:rsidR="00540971">
        <w:rPr>
          <w:sz w:val="24"/>
          <w:szCs w:val="24"/>
        </w:rPr>
        <w:t xml:space="preserve">aligned </w:t>
      </w:r>
      <w:r w:rsidR="00CF3354" w:rsidRPr="00855D76">
        <w:rPr>
          <w:sz w:val="24"/>
          <w:szCs w:val="24"/>
        </w:rPr>
        <w:t xml:space="preserve">with </w:t>
      </w:r>
      <w:r w:rsidR="00540971">
        <w:rPr>
          <w:sz w:val="24"/>
          <w:szCs w:val="24"/>
        </w:rPr>
        <w:t xml:space="preserve">the </w:t>
      </w:r>
      <w:r w:rsidR="00CF3354" w:rsidRPr="00855D76">
        <w:rPr>
          <w:sz w:val="24"/>
          <w:szCs w:val="24"/>
        </w:rPr>
        <w:t xml:space="preserve">framework of </w:t>
      </w:r>
      <w:r w:rsidR="00CF3354">
        <w:rPr>
          <w:sz w:val="24"/>
          <w:szCs w:val="24"/>
        </w:rPr>
        <w:t>Ghysels, Plazzi, Torous and Valkanov (2012)</w:t>
      </w:r>
      <w:r w:rsidRPr="00855D76">
        <w:rPr>
          <w:sz w:val="24"/>
          <w:szCs w:val="24"/>
        </w:rPr>
        <w:t xml:space="preserve">. </w:t>
      </w:r>
      <w:r w:rsidR="00CF3354">
        <w:rPr>
          <w:sz w:val="24"/>
          <w:szCs w:val="24"/>
        </w:rPr>
        <w:t xml:space="preserve">Cap Rates are collected from NCREIF for all property types and all regions. A second concern is that investors may be primarily concerned with </w:t>
      </w:r>
      <w:r w:rsidR="00C909A1">
        <w:rPr>
          <w:sz w:val="24"/>
          <w:szCs w:val="24"/>
        </w:rPr>
        <w:t xml:space="preserve">forward-looking </w:t>
      </w:r>
      <w:r w:rsidR="00CF3354">
        <w:rPr>
          <w:sz w:val="24"/>
          <w:szCs w:val="24"/>
        </w:rPr>
        <w:t xml:space="preserve">expected values for income returns (rather than past values). Alternate II provides a specification where the lagged Income Returns measure is replaced by its four quarter </w:t>
      </w:r>
      <w:r w:rsidR="00612CCB">
        <w:rPr>
          <w:sz w:val="24"/>
          <w:szCs w:val="24"/>
        </w:rPr>
        <w:t xml:space="preserve">forward </w:t>
      </w:r>
      <w:r w:rsidR="00CF3354">
        <w:rPr>
          <w:sz w:val="24"/>
          <w:szCs w:val="24"/>
        </w:rPr>
        <w:t xml:space="preserve">expected value, generated from an autoregressive process. </w:t>
      </w:r>
      <w:r w:rsidR="00FC78C4">
        <w:rPr>
          <w:sz w:val="24"/>
          <w:szCs w:val="24"/>
        </w:rPr>
        <w:t>A third concern is that the CRE Lending Index measure is dominated by the CRE Tightening measure, so it may be revealing to see an alternative lending index. In Alternate III, Volume is replaced by CRE Lending Index</w:t>
      </w:r>
      <w:r w:rsidR="00FC78C4" w:rsidRPr="00FC78C4">
        <w:rPr>
          <w:b/>
          <w:color w:val="000000"/>
          <w:sz w:val="24"/>
          <w:szCs w:val="24"/>
        </w:rPr>
        <w:t>'</w:t>
      </w:r>
      <w:r w:rsidR="00FC78C4">
        <w:rPr>
          <w:sz w:val="24"/>
          <w:szCs w:val="24"/>
        </w:rPr>
        <w:t xml:space="preserve"> – </w:t>
      </w:r>
      <w:r w:rsidR="00FC78C4" w:rsidRPr="00FC78C4">
        <w:rPr>
          <w:sz w:val="24"/>
          <w:szCs w:val="24"/>
        </w:rPr>
        <w:t>constructed from the principal components of the four following underwriting measures: CRE Debt, Volume, CRE Mtg Flows, and CRE Spread.</w:t>
      </w:r>
      <w:r w:rsidR="00FC78C4">
        <w:rPr>
          <w:sz w:val="24"/>
          <w:szCs w:val="24"/>
        </w:rPr>
        <w:t xml:space="preserve"> Interestingly, CRE Lending Index</w:t>
      </w:r>
      <w:r w:rsidR="00FC78C4" w:rsidRPr="00FC78C4">
        <w:rPr>
          <w:b/>
          <w:color w:val="000000"/>
          <w:sz w:val="24"/>
          <w:szCs w:val="24"/>
        </w:rPr>
        <w:t>'</w:t>
      </w:r>
      <w:r w:rsidR="00FC78C4">
        <w:rPr>
          <w:color w:val="000000"/>
          <w:sz w:val="24"/>
          <w:szCs w:val="24"/>
        </w:rPr>
        <w:t xml:space="preserve"> is largely uncorrelated with CRE Tightening. Results for Alternate specifications I, II, and III are provided in Table A1. The central result </w:t>
      </w:r>
      <w:r w:rsidR="00E47AD5">
        <w:rPr>
          <w:color w:val="000000"/>
          <w:sz w:val="24"/>
          <w:szCs w:val="24"/>
        </w:rPr>
        <w:t xml:space="preserve">is largely unchanged under the alternate specifications. Capital Gains respond </w:t>
      </w:r>
      <w:r w:rsidR="0062414F">
        <w:rPr>
          <w:color w:val="000000"/>
          <w:sz w:val="24"/>
          <w:szCs w:val="24"/>
        </w:rPr>
        <w:t xml:space="preserve">positively </w:t>
      </w:r>
      <w:r w:rsidR="00E47AD5">
        <w:rPr>
          <w:color w:val="000000"/>
          <w:sz w:val="24"/>
          <w:szCs w:val="24"/>
        </w:rPr>
        <w:t xml:space="preserve">to </w:t>
      </w:r>
      <w:r w:rsidR="0062414F">
        <w:rPr>
          <w:color w:val="000000"/>
          <w:sz w:val="24"/>
          <w:szCs w:val="24"/>
        </w:rPr>
        <w:t xml:space="preserve">recent </w:t>
      </w:r>
      <w:r w:rsidR="00E47AD5">
        <w:rPr>
          <w:color w:val="000000"/>
          <w:sz w:val="24"/>
          <w:szCs w:val="24"/>
        </w:rPr>
        <w:t xml:space="preserve">changes </w:t>
      </w:r>
      <w:r w:rsidR="0062414F">
        <w:rPr>
          <w:color w:val="000000"/>
          <w:sz w:val="24"/>
          <w:szCs w:val="24"/>
        </w:rPr>
        <w:t xml:space="preserve">in Capital Gains and negative to recent changes in </w:t>
      </w:r>
      <w:r w:rsidR="00E47AD5">
        <w:rPr>
          <w:color w:val="000000"/>
          <w:sz w:val="24"/>
          <w:szCs w:val="24"/>
        </w:rPr>
        <w:t>CRE Tightening</w:t>
      </w:r>
      <w:r w:rsidR="0062414F">
        <w:rPr>
          <w:color w:val="000000"/>
          <w:sz w:val="24"/>
          <w:szCs w:val="24"/>
        </w:rPr>
        <w:t>.</w:t>
      </w:r>
      <w:r w:rsidR="00E47AD5">
        <w:rPr>
          <w:color w:val="000000"/>
          <w:sz w:val="24"/>
          <w:szCs w:val="24"/>
        </w:rPr>
        <w:t xml:space="preserve"> </w:t>
      </w:r>
      <w:r w:rsidR="0062414F">
        <w:rPr>
          <w:color w:val="000000"/>
          <w:sz w:val="24"/>
          <w:szCs w:val="24"/>
        </w:rPr>
        <w:t xml:space="preserve">Credit policy accounts for a large portion of the forecast error for Capital Gains, while influence from the property market is close to zero. </w:t>
      </w:r>
    </w:p>
    <w:p w:rsidR="0062414F" w:rsidRDefault="0062414F" w:rsidP="00FC78C4">
      <w:pPr>
        <w:spacing w:line="480" w:lineRule="auto"/>
        <w:jc w:val="both"/>
        <w:rPr>
          <w:sz w:val="24"/>
          <w:szCs w:val="24"/>
        </w:rPr>
      </w:pPr>
      <w:r w:rsidRPr="00BC2C4F">
        <w:rPr>
          <w:sz w:val="24"/>
          <w:szCs w:val="24"/>
        </w:rPr>
        <w:tab/>
        <w:t>An</w:t>
      </w:r>
      <w:r w:rsidR="00BC2C4F" w:rsidRPr="00BC2C4F">
        <w:rPr>
          <w:sz w:val="24"/>
          <w:szCs w:val="24"/>
        </w:rPr>
        <w:t xml:space="preserve"> alternate to the NCREIF series is Real Capital Analytics (RCA), </w:t>
      </w:r>
      <w:r w:rsidR="00BC2C4F">
        <w:rPr>
          <w:sz w:val="24"/>
          <w:szCs w:val="24"/>
        </w:rPr>
        <w:t xml:space="preserve">available at monthly frequency </w:t>
      </w:r>
      <w:r w:rsidR="00CF1EBD">
        <w:rPr>
          <w:sz w:val="24"/>
          <w:szCs w:val="24"/>
        </w:rPr>
        <w:t xml:space="preserve">beginning </w:t>
      </w:r>
      <w:r w:rsidR="00BC2C4F">
        <w:rPr>
          <w:sz w:val="24"/>
          <w:szCs w:val="24"/>
        </w:rPr>
        <w:t>in December 2000. RCA da</w:t>
      </w:r>
      <w:r w:rsidR="00744520">
        <w:rPr>
          <w:sz w:val="24"/>
          <w:szCs w:val="24"/>
        </w:rPr>
        <w:t>ta has 160 monthly observations</w:t>
      </w:r>
      <w:r w:rsidR="00BC2C4F">
        <w:rPr>
          <w:sz w:val="24"/>
          <w:szCs w:val="24"/>
        </w:rPr>
        <w:t xml:space="preserve"> compared to 96 quarterly observations for NCREIF, although the series spans fewer cycles. An issue with Income Returns is that asset value</w:t>
      </w:r>
      <w:r w:rsidR="00AC1C78">
        <w:rPr>
          <w:sz w:val="24"/>
          <w:szCs w:val="24"/>
        </w:rPr>
        <w:t>s</w:t>
      </w:r>
      <w:r w:rsidR="00BC2C4F">
        <w:rPr>
          <w:sz w:val="24"/>
          <w:szCs w:val="24"/>
        </w:rPr>
        <w:t xml:space="preserve"> </w:t>
      </w:r>
      <w:r w:rsidR="00AC1C78">
        <w:rPr>
          <w:sz w:val="24"/>
          <w:szCs w:val="24"/>
        </w:rPr>
        <w:t xml:space="preserve">are </w:t>
      </w:r>
      <w:r w:rsidR="00BC2C4F">
        <w:rPr>
          <w:sz w:val="24"/>
          <w:szCs w:val="24"/>
        </w:rPr>
        <w:t xml:space="preserve">implicitly in the denominator, even if unobserved for several periods, leading to potentially abrupt </w:t>
      </w:r>
      <w:r w:rsidR="00483854">
        <w:rPr>
          <w:sz w:val="24"/>
          <w:szCs w:val="24"/>
        </w:rPr>
        <w:t xml:space="preserve">changes </w:t>
      </w:r>
      <w:r w:rsidR="00BC2C4F">
        <w:rPr>
          <w:sz w:val="24"/>
          <w:szCs w:val="24"/>
        </w:rPr>
        <w:t xml:space="preserve">when asset valuations are </w:t>
      </w:r>
      <w:r w:rsidR="00483854">
        <w:rPr>
          <w:sz w:val="24"/>
          <w:szCs w:val="24"/>
        </w:rPr>
        <w:t>adjusted</w:t>
      </w:r>
      <w:r w:rsidR="00BC2C4F">
        <w:rPr>
          <w:sz w:val="24"/>
          <w:szCs w:val="24"/>
        </w:rPr>
        <w:t xml:space="preserve">. Income reporting may be smoothed over calendar quarters for accounting purposes. Thus, Income Returns do not provide as direct a measure for property market fundamentals as NOI on per square foot basis might, which is available in the RCA data. Another concern is whether NCREIF turnover is </w:t>
      </w:r>
      <w:r w:rsidR="00CD583C">
        <w:rPr>
          <w:sz w:val="24"/>
          <w:szCs w:val="24"/>
        </w:rPr>
        <w:t>the most</w:t>
      </w:r>
      <w:r w:rsidR="00BC2C4F">
        <w:rPr>
          <w:sz w:val="24"/>
          <w:szCs w:val="24"/>
        </w:rPr>
        <w:t xml:space="preserve"> meaningful proxy for aggregate transaction volume since assets </w:t>
      </w:r>
      <w:r w:rsidR="00286655">
        <w:rPr>
          <w:sz w:val="24"/>
          <w:szCs w:val="24"/>
        </w:rPr>
        <w:t xml:space="preserve">comprising </w:t>
      </w:r>
      <w:r w:rsidR="00BC2C4F">
        <w:rPr>
          <w:sz w:val="24"/>
          <w:szCs w:val="24"/>
        </w:rPr>
        <w:t xml:space="preserve">the TBI </w:t>
      </w:r>
      <w:r w:rsidR="00286655">
        <w:rPr>
          <w:sz w:val="24"/>
          <w:szCs w:val="24"/>
        </w:rPr>
        <w:t xml:space="preserve">represent a relatively small percentage of total CRE assets and </w:t>
      </w:r>
      <w:r w:rsidR="00D26B5E">
        <w:rPr>
          <w:sz w:val="24"/>
          <w:szCs w:val="24"/>
        </w:rPr>
        <w:t xml:space="preserve">they </w:t>
      </w:r>
      <w:r w:rsidR="00286655">
        <w:rPr>
          <w:sz w:val="24"/>
          <w:szCs w:val="24"/>
        </w:rPr>
        <w:t xml:space="preserve">are held by </w:t>
      </w:r>
      <w:r w:rsidR="00D26B5E">
        <w:rPr>
          <w:sz w:val="24"/>
          <w:szCs w:val="24"/>
        </w:rPr>
        <w:t xml:space="preserve">tax-exempt </w:t>
      </w:r>
      <w:r w:rsidR="00286655">
        <w:rPr>
          <w:sz w:val="24"/>
          <w:szCs w:val="24"/>
        </w:rPr>
        <w:t>institutional investor clienteles</w:t>
      </w:r>
      <w:r w:rsidR="00D26B5E">
        <w:rPr>
          <w:sz w:val="24"/>
          <w:szCs w:val="24"/>
        </w:rPr>
        <w:t xml:space="preserve"> (primarily pension funds)</w:t>
      </w:r>
      <w:r w:rsidR="00286655">
        <w:rPr>
          <w:sz w:val="24"/>
          <w:szCs w:val="24"/>
        </w:rPr>
        <w:t xml:space="preserve">. A direct measure for transaction volume based on the total dollar amount of CRE sold is available in the RCA data. Finally, the Moody’s/RCA Commercial Property Price Index (CPPI) is a constant-quality index and is not appraisal based, which circumvents issues with TBI and NCREIF </w:t>
      </w:r>
      <w:r w:rsidR="001F1744">
        <w:rPr>
          <w:sz w:val="24"/>
          <w:szCs w:val="24"/>
        </w:rPr>
        <w:t xml:space="preserve">NPI </w:t>
      </w:r>
      <w:r w:rsidR="00286655">
        <w:rPr>
          <w:sz w:val="24"/>
          <w:szCs w:val="24"/>
        </w:rPr>
        <w:t>measures for Capital Gains. Results from estimations by property type using the RCA data are presented in Table A2. The central findings of this study are robust to the alternate data</w:t>
      </w:r>
      <w:r w:rsidR="000705E9">
        <w:rPr>
          <w:sz w:val="24"/>
          <w:szCs w:val="24"/>
        </w:rPr>
        <w:t xml:space="preserve"> source</w:t>
      </w:r>
      <w:r w:rsidR="00286655">
        <w:rPr>
          <w:sz w:val="24"/>
          <w:szCs w:val="24"/>
        </w:rPr>
        <w:t>.</w:t>
      </w:r>
    </w:p>
    <w:p w:rsidR="00855D76" w:rsidRDefault="00855D76" w:rsidP="00855D76">
      <w:pPr>
        <w:overflowPunct/>
        <w:autoSpaceDE/>
        <w:autoSpaceDN/>
        <w:adjustRightInd/>
        <w:spacing w:before="120" w:line="216" w:lineRule="auto"/>
        <w:ind w:right="180"/>
        <w:jc w:val="both"/>
        <w:textAlignment w:val="auto"/>
      </w:pPr>
    </w:p>
    <w:p w:rsidR="00855D76" w:rsidRDefault="00855D76" w:rsidP="00C20839">
      <w:pPr>
        <w:spacing w:line="480" w:lineRule="auto"/>
        <w:rPr>
          <w:sz w:val="24"/>
          <w:szCs w:val="24"/>
        </w:rPr>
      </w:pPr>
    </w:p>
    <w:p w:rsidR="00855D76" w:rsidRDefault="00855D76">
      <w:pPr>
        <w:overflowPunct/>
        <w:autoSpaceDE/>
        <w:autoSpaceDN/>
        <w:adjustRightInd/>
        <w:spacing w:after="200" w:line="276" w:lineRule="auto"/>
        <w:textAlignment w:val="auto"/>
        <w:rPr>
          <w:b/>
          <w:sz w:val="24"/>
          <w:szCs w:val="24"/>
        </w:rPr>
      </w:pPr>
      <w:r>
        <w:rPr>
          <w:b/>
          <w:sz w:val="24"/>
          <w:szCs w:val="24"/>
        </w:rPr>
        <w:br w:type="page"/>
      </w:r>
    </w:p>
    <w:p w:rsidR="004C0080" w:rsidRPr="004E70B0" w:rsidRDefault="004C0080" w:rsidP="001C1B5A">
      <w:pPr>
        <w:spacing w:line="480" w:lineRule="auto"/>
        <w:rPr>
          <w:b/>
          <w:sz w:val="24"/>
          <w:szCs w:val="24"/>
        </w:rPr>
      </w:pPr>
      <w:r w:rsidRPr="004E70B0">
        <w:rPr>
          <w:b/>
          <w:sz w:val="24"/>
          <w:szCs w:val="24"/>
        </w:rPr>
        <w:t>References</w:t>
      </w:r>
    </w:p>
    <w:p w:rsidR="003147DF" w:rsidRDefault="003147DF" w:rsidP="003147DF">
      <w:pPr>
        <w:spacing w:after="80" w:line="360" w:lineRule="auto"/>
        <w:ind w:left="270" w:hanging="270"/>
        <w:rPr>
          <w:sz w:val="24"/>
          <w:szCs w:val="24"/>
        </w:rPr>
      </w:pPr>
      <w:r>
        <w:rPr>
          <w:sz w:val="24"/>
          <w:szCs w:val="24"/>
        </w:rPr>
        <w:t>Amihud</w:t>
      </w:r>
      <w:r w:rsidRPr="0066559B">
        <w:rPr>
          <w:sz w:val="24"/>
          <w:szCs w:val="24"/>
        </w:rPr>
        <w:t xml:space="preserve">, </w:t>
      </w:r>
      <w:r>
        <w:rPr>
          <w:sz w:val="24"/>
          <w:szCs w:val="24"/>
        </w:rPr>
        <w:t>Y., Mendelson, H., Pedersen, L.H. (2005</w:t>
      </w:r>
      <w:r w:rsidRPr="0066559B">
        <w:rPr>
          <w:sz w:val="24"/>
          <w:szCs w:val="24"/>
        </w:rPr>
        <w:t xml:space="preserve">). </w:t>
      </w:r>
      <w:r>
        <w:rPr>
          <w:sz w:val="24"/>
          <w:szCs w:val="24"/>
        </w:rPr>
        <w:t xml:space="preserve">Liquidity and Asset Prices. </w:t>
      </w:r>
      <w:r>
        <w:rPr>
          <w:i/>
          <w:sz w:val="24"/>
          <w:szCs w:val="24"/>
        </w:rPr>
        <w:t xml:space="preserve">Foundations and Trends in </w:t>
      </w:r>
      <w:r w:rsidRPr="00CA480A">
        <w:rPr>
          <w:i/>
          <w:sz w:val="24"/>
          <w:szCs w:val="24"/>
        </w:rPr>
        <w:t>Finance</w:t>
      </w:r>
      <w:r>
        <w:rPr>
          <w:sz w:val="24"/>
          <w:szCs w:val="24"/>
        </w:rPr>
        <w:t>,</w:t>
      </w:r>
      <w:r w:rsidRPr="0066559B">
        <w:rPr>
          <w:sz w:val="24"/>
          <w:szCs w:val="24"/>
        </w:rPr>
        <w:t xml:space="preserve"> </w:t>
      </w:r>
      <w:r>
        <w:rPr>
          <w:sz w:val="24"/>
          <w:szCs w:val="24"/>
        </w:rPr>
        <w:t>1</w:t>
      </w:r>
      <w:r w:rsidR="00D86E40">
        <w:rPr>
          <w:sz w:val="24"/>
          <w:szCs w:val="24"/>
        </w:rPr>
        <w:t>:</w:t>
      </w:r>
      <w:r>
        <w:rPr>
          <w:sz w:val="24"/>
          <w:szCs w:val="24"/>
        </w:rPr>
        <w:t>269–364</w:t>
      </w:r>
      <w:r w:rsidRPr="0066559B">
        <w:rPr>
          <w:sz w:val="24"/>
          <w:szCs w:val="24"/>
        </w:rPr>
        <w:t xml:space="preserve">. </w:t>
      </w:r>
    </w:p>
    <w:p w:rsidR="0066559B" w:rsidRDefault="0066559B" w:rsidP="00C20839">
      <w:pPr>
        <w:spacing w:after="80" w:line="360" w:lineRule="auto"/>
        <w:ind w:left="270" w:hanging="270"/>
        <w:rPr>
          <w:sz w:val="24"/>
          <w:szCs w:val="24"/>
        </w:rPr>
      </w:pPr>
      <w:r w:rsidRPr="0066559B">
        <w:rPr>
          <w:sz w:val="24"/>
          <w:szCs w:val="24"/>
        </w:rPr>
        <w:t>Arsenault, M</w:t>
      </w:r>
      <w:r w:rsidR="0038429A">
        <w:rPr>
          <w:sz w:val="24"/>
          <w:szCs w:val="24"/>
        </w:rPr>
        <w:t>., Clayton, J.,</w:t>
      </w:r>
      <w:r w:rsidR="00CA480A">
        <w:rPr>
          <w:sz w:val="24"/>
          <w:szCs w:val="24"/>
        </w:rPr>
        <w:t xml:space="preserve"> Peng, L. (2013</w:t>
      </w:r>
      <w:r w:rsidRPr="0066559B">
        <w:rPr>
          <w:sz w:val="24"/>
          <w:szCs w:val="24"/>
        </w:rPr>
        <w:t>). Mortga</w:t>
      </w:r>
      <w:r w:rsidR="002B316A">
        <w:rPr>
          <w:sz w:val="24"/>
          <w:szCs w:val="24"/>
        </w:rPr>
        <w:t>ge Fund Flows, Capital Apprecia</w:t>
      </w:r>
      <w:r w:rsidRPr="0066559B">
        <w:rPr>
          <w:sz w:val="24"/>
          <w:szCs w:val="24"/>
        </w:rPr>
        <w:t xml:space="preserve">tion, and Real Estate Cycles. </w:t>
      </w:r>
      <w:r w:rsidRPr="00CA480A">
        <w:rPr>
          <w:i/>
          <w:sz w:val="24"/>
          <w:szCs w:val="24"/>
        </w:rPr>
        <w:t>Journal of Real Estate Finance and Economics</w:t>
      </w:r>
      <w:r w:rsidR="00CA480A">
        <w:rPr>
          <w:sz w:val="24"/>
          <w:szCs w:val="24"/>
        </w:rPr>
        <w:t>,</w:t>
      </w:r>
      <w:r w:rsidRPr="0066559B">
        <w:rPr>
          <w:sz w:val="24"/>
          <w:szCs w:val="24"/>
        </w:rPr>
        <w:t xml:space="preserve"> </w:t>
      </w:r>
      <w:r w:rsidR="00D86E40">
        <w:rPr>
          <w:sz w:val="24"/>
          <w:szCs w:val="24"/>
        </w:rPr>
        <w:t>47:</w:t>
      </w:r>
      <w:r w:rsidR="00CA480A">
        <w:rPr>
          <w:sz w:val="24"/>
          <w:szCs w:val="24"/>
        </w:rPr>
        <w:t>243–265</w:t>
      </w:r>
      <w:r w:rsidRPr="0066559B">
        <w:rPr>
          <w:sz w:val="24"/>
          <w:szCs w:val="24"/>
        </w:rPr>
        <w:t xml:space="preserve">. </w:t>
      </w:r>
    </w:p>
    <w:p w:rsidR="00285B25" w:rsidRPr="00285B25" w:rsidRDefault="00285B25" w:rsidP="00D86E40">
      <w:pPr>
        <w:spacing w:after="80" w:line="360" w:lineRule="auto"/>
        <w:ind w:left="270" w:hanging="270"/>
        <w:rPr>
          <w:sz w:val="24"/>
          <w:szCs w:val="24"/>
        </w:rPr>
      </w:pPr>
      <w:r>
        <w:rPr>
          <w:sz w:val="24"/>
          <w:szCs w:val="24"/>
        </w:rPr>
        <w:t>Ca</w:t>
      </w:r>
      <w:r w:rsidR="00E5727A">
        <w:rPr>
          <w:sz w:val="24"/>
          <w:szCs w:val="24"/>
        </w:rPr>
        <w:t>r</w:t>
      </w:r>
      <w:r>
        <w:rPr>
          <w:sz w:val="24"/>
          <w:szCs w:val="24"/>
        </w:rPr>
        <w:t xml:space="preserve">hart, M.M. (1997). On Persistence in Mutual Fund Performance. </w:t>
      </w:r>
      <w:r>
        <w:rPr>
          <w:i/>
          <w:sz w:val="24"/>
          <w:szCs w:val="24"/>
        </w:rPr>
        <w:t xml:space="preserve">Journal of Finance, </w:t>
      </w:r>
      <w:r>
        <w:rPr>
          <w:sz w:val="24"/>
          <w:szCs w:val="24"/>
        </w:rPr>
        <w:t>52:57–82.</w:t>
      </w:r>
    </w:p>
    <w:p w:rsidR="00A90937" w:rsidRDefault="00A90937" w:rsidP="00D86E40">
      <w:pPr>
        <w:spacing w:after="80" w:line="360" w:lineRule="auto"/>
        <w:ind w:left="270" w:hanging="270"/>
        <w:rPr>
          <w:sz w:val="24"/>
          <w:szCs w:val="24"/>
        </w:rPr>
      </w:pPr>
      <w:r>
        <w:rPr>
          <w:sz w:val="24"/>
          <w:szCs w:val="24"/>
        </w:rPr>
        <w:t xml:space="preserve">Chen, </w:t>
      </w:r>
      <w:r w:rsidR="00D86E40">
        <w:rPr>
          <w:sz w:val="24"/>
          <w:szCs w:val="24"/>
        </w:rPr>
        <w:t xml:space="preserve">G., </w:t>
      </w:r>
      <w:r>
        <w:rPr>
          <w:sz w:val="24"/>
          <w:szCs w:val="24"/>
        </w:rPr>
        <w:t xml:space="preserve">Firth, </w:t>
      </w:r>
      <w:r w:rsidR="00D86E40">
        <w:rPr>
          <w:sz w:val="24"/>
          <w:szCs w:val="24"/>
        </w:rPr>
        <w:t xml:space="preserve">M., </w:t>
      </w:r>
      <w:r>
        <w:rPr>
          <w:sz w:val="24"/>
          <w:szCs w:val="24"/>
        </w:rPr>
        <w:t>Rui,</w:t>
      </w:r>
      <w:r w:rsidR="00D86E40">
        <w:rPr>
          <w:sz w:val="24"/>
          <w:szCs w:val="24"/>
        </w:rPr>
        <w:t xml:space="preserve"> O.</w:t>
      </w:r>
      <w:r>
        <w:rPr>
          <w:sz w:val="24"/>
          <w:szCs w:val="24"/>
        </w:rPr>
        <w:t xml:space="preserve"> </w:t>
      </w:r>
      <w:r w:rsidR="00D86E40">
        <w:rPr>
          <w:sz w:val="24"/>
          <w:szCs w:val="24"/>
        </w:rPr>
        <w:t>(</w:t>
      </w:r>
      <w:r>
        <w:rPr>
          <w:sz w:val="24"/>
          <w:szCs w:val="24"/>
        </w:rPr>
        <w:t>2001</w:t>
      </w:r>
      <w:r w:rsidR="00D86E40">
        <w:rPr>
          <w:sz w:val="24"/>
          <w:szCs w:val="24"/>
        </w:rPr>
        <w:t xml:space="preserve">). The Dynamic Relation between Stock Returns, Trading Volume and Volatility. </w:t>
      </w:r>
      <w:r w:rsidR="00D86E40" w:rsidRPr="00D86E40">
        <w:rPr>
          <w:i/>
          <w:sz w:val="24"/>
          <w:szCs w:val="24"/>
        </w:rPr>
        <w:t>The Financial Review,</w:t>
      </w:r>
      <w:r w:rsidR="00D86E40">
        <w:rPr>
          <w:sz w:val="24"/>
          <w:szCs w:val="24"/>
        </w:rPr>
        <w:t xml:space="preserve"> 38:153–174.</w:t>
      </w:r>
      <w:r>
        <w:rPr>
          <w:sz w:val="24"/>
          <w:szCs w:val="24"/>
        </w:rPr>
        <w:t xml:space="preserve"> </w:t>
      </w:r>
    </w:p>
    <w:p w:rsidR="00A90937" w:rsidRPr="007D3E86" w:rsidRDefault="00A90937" w:rsidP="00A90937">
      <w:pPr>
        <w:spacing w:after="80" w:line="360" w:lineRule="auto"/>
        <w:ind w:left="270" w:hanging="270"/>
        <w:rPr>
          <w:sz w:val="24"/>
          <w:szCs w:val="24"/>
        </w:rPr>
      </w:pPr>
      <w:r>
        <w:rPr>
          <w:sz w:val="24"/>
          <w:szCs w:val="24"/>
        </w:rPr>
        <w:t xml:space="preserve">Chuang, C.C., Kuan, C.M., Lin, H.Y. (2009). Causality in Quantiles and Dynamic Stock Return-Volume Relations. </w:t>
      </w:r>
      <w:r>
        <w:rPr>
          <w:i/>
          <w:sz w:val="24"/>
          <w:szCs w:val="24"/>
        </w:rPr>
        <w:t xml:space="preserve">Journal of Banking and Finance, </w:t>
      </w:r>
      <w:r>
        <w:rPr>
          <w:sz w:val="24"/>
          <w:szCs w:val="24"/>
        </w:rPr>
        <w:t>33:1351–1360.</w:t>
      </w:r>
      <w:r w:rsidRPr="007D3E86">
        <w:rPr>
          <w:sz w:val="24"/>
          <w:szCs w:val="24"/>
        </w:rPr>
        <w:t xml:space="preserve"> </w:t>
      </w:r>
    </w:p>
    <w:p w:rsidR="004E70B0" w:rsidRPr="004E70B0" w:rsidRDefault="00B161D6" w:rsidP="004E70B0">
      <w:pPr>
        <w:spacing w:after="80" w:line="360" w:lineRule="auto"/>
        <w:ind w:left="270" w:hanging="270"/>
        <w:rPr>
          <w:sz w:val="24"/>
          <w:szCs w:val="24"/>
        </w:rPr>
      </w:pPr>
      <w:r w:rsidRPr="004E70B0">
        <w:rPr>
          <w:sz w:val="24"/>
          <w:szCs w:val="24"/>
        </w:rPr>
        <w:t>Clayton</w:t>
      </w:r>
      <w:r w:rsidR="004E70B0">
        <w:rPr>
          <w:sz w:val="24"/>
          <w:szCs w:val="24"/>
        </w:rPr>
        <w:t xml:space="preserve">, J. (2009). </w:t>
      </w:r>
      <w:r w:rsidR="004E70B0" w:rsidRPr="004E70B0">
        <w:rPr>
          <w:sz w:val="24"/>
          <w:szCs w:val="24"/>
        </w:rPr>
        <w:t xml:space="preserve">Debt </w:t>
      </w:r>
      <w:r w:rsidR="004E70B0">
        <w:rPr>
          <w:sz w:val="24"/>
          <w:szCs w:val="24"/>
        </w:rPr>
        <w:t>M</w:t>
      </w:r>
      <w:r w:rsidR="004E70B0" w:rsidRPr="004E70B0">
        <w:rPr>
          <w:sz w:val="24"/>
          <w:szCs w:val="24"/>
        </w:rPr>
        <w:t xml:space="preserve">atters: </w:t>
      </w:r>
      <w:r w:rsidR="004E70B0">
        <w:rPr>
          <w:sz w:val="24"/>
          <w:szCs w:val="24"/>
        </w:rPr>
        <w:t>L</w:t>
      </w:r>
      <w:r w:rsidR="004E70B0" w:rsidRPr="004E70B0">
        <w:rPr>
          <w:sz w:val="24"/>
          <w:szCs w:val="24"/>
        </w:rPr>
        <w:t xml:space="preserve">everage, </w:t>
      </w:r>
      <w:r w:rsidR="004E70B0">
        <w:rPr>
          <w:sz w:val="24"/>
          <w:szCs w:val="24"/>
        </w:rPr>
        <w:t>L</w:t>
      </w:r>
      <w:r w:rsidR="004E70B0" w:rsidRPr="004E70B0">
        <w:rPr>
          <w:sz w:val="24"/>
          <w:szCs w:val="24"/>
        </w:rPr>
        <w:t xml:space="preserve">iquidity, and </w:t>
      </w:r>
      <w:r w:rsidR="004E70B0">
        <w:rPr>
          <w:sz w:val="24"/>
          <w:szCs w:val="24"/>
        </w:rPr>
        <w:t>P</w:t>
      </w:r>
      <w:r w:rsidR="004E70B0" w:rsidRPr="004E70B0">
        <w:rPr>
          <w:sz w:val="24"/>
          <w:szCs w:val="24"/>
        </w:rPr>
        <w:t xml:space="preserve">roperty </w:t>
      </w:r>
      <w:r w:rsidR="004E70B0">
        <w:rPr>
          <w:sz w:val="24"/>
          <w:szCs w:val="24"/>
        </w:rPr>
        <w:t>V</w:t>
      </w:r>
      <w:r w:rsidR="004E70B0" w:rsidRPr="004E70B0">
        <w:rPr>
          <w:sz w:val="24"/>
          <w:szCs w:val="24"/>
        </w:rPr>
        <w:t xml:space="preserve">aluation. </w:t>
      </w:r>
      <w:r w:rsidR="004E70B0" w:rsidRPr="004E70B0">
        <w:rPr>
          <w:i/>
          <w:sz w:val="24"/>
          <w:szCs w:val="24"/>
        </w:rPr>
        <w:t>Journal of Real Estate</w:t>
      </w:r>
      <w:r w:rsidR="004E70B0">
        <w:rPr>
          <w:i/>
          <w:sz w:val="24"/>
          <w:szCs w:val="24"/>
        </w:rPr>
        <w:t xml:space="preserve"> </w:t>
      </w:r>
      <w:r w:rsidR="004E70B0" w:rsidRPr="004E70B0">
        <w:rPr>
          <w:i/>
          <w:sz w:val="24"/>
          <w:szCs w:val="24"/>
        </w:rPr>
        <w:t>Portfolio Management</w:t>
      </w:r>
      <w:r w:rsidR="004E70B0" w:rsidRPr="004E70B0">
        <w:rPr>
          <w:sz w:val="24"/>
          <w:szCs w:val="24"/>
        </w:rPr>
        <w:t>, 15</w:t>
      </w:r>
      <w:r w:rsidR="004E70B0">
        <w:rPr>
          <w:sz w:val="24"/>
          <w:szCs w:val="24"/>
        </w:rPr>
        <w:t>:</w:t>
      </w:r>
      <w:r w:rsidR="004E70B0" w:rsidRPr="004E70B0">
        <w:rPr>
          <w:sz w:val="24"/>
          <w:szCs w:val="24"/>
        </w:rPr>
        <w:t>107–113.</w:t>
      </w:r>
    </w:p>
    <w:p w:rsidR="006D3162" w:rsidRDefault="006D3162" w:rsidP="006D3162">
      <w:pPr>
        <w:spacing w:after="80" w:line="360" w:lineRule="auto"/>
        <w:ind w:left="270" w:hanging="270"/>
        <w:rPr>
          <w:sz w:val="24"/>
          <w:szCs w:val="24"/>
        </w:rPr>
      </w:pPr>
      <w:r w:rsidRPr="00594C70">
        <w:rPr>
          <w:sz w:val="24"/>
          <w:szCs w:val="24"/>
        </w:rPr>
        <w:t xml:space="preserve">Clayton, J., </w:t>
      </w:r>
      <w:r>
        <w:rPr>
          <w:sz w:val="24"/>
          <w:szCs w:val="24"/>
        </w:rPr>
        <w:t>MacKinnon</w:t>
      </w:r>
      <w:r w:rsidRPr="00594C70">
        <w:rPr>
          <w:sz w:val="24"/>
          <w:szCs w:val="24"/>
        </w:rPr>
        <w:t xml:space="preserve">, </w:t>
      </w:r>
      <w:r>
        <w:rPr>
          <w:sz w:val="24"/>
          <w:szCs w:val="24"/>
        </w:rPr>
        <w:t>G</w:t>
      </w:r>
      <w:r w:rsidRPr="00594C70">
        <w:rPr>
          <w:sz w:val="24"/>
          <w:szCs w:val="24"/>
        </w:rPr>
        <w:t xml:space="preserve">., </w:t>
      </w:r>
      <w:r>
        <w:rPr>
          <w:sz w:val="24"/>
          <w:szCs w:val="24"/>
        </w:rPr>
        <w:t>Peng</w:t>
      </w:r>
      <w:r w:rsidRPr="00594C70">
        <w:rPr>
          <w:sz w:val="24"/>
          <w:szCs w:val="24"/>
        </w:rPr>
        <w:t xml:space="preserve">, </w:t>
      </w:r>
      <w:r>
        <w:rPr>
          <w:sz w:val="24"/>
          <w:szCs w:val="24"/>
        </w:rPr>
        <w:t>L. (2005</w:t>
      </w:r>
      <w:r w:rsidRPr="00594C70">
        <w:rPr>
          <w:sz w:val="24"/>
          <w:szCs w:val="24"/>
        </w:rPr>
        <w:t xml:space="preserve">). </w:t>
      </w:r>
      <w:r>
        <w:rPr>
          <w:sz w:val="24"/>
          <w:szCs w:val="24"/>
        </w:rPr>
        <w:t>Time Variation of Liquidity in the Private Real Estate Market: Causes and Consequences</w:t>
      </w:r>
      <w:r w:rsidRPr="00594C70">
        <w:rPr>
          <w:sz w:val="24"/>
          <w:szCs w:val="24"/>
        </w:rPr>
        <w:t xml:space="preserve">. </w:t>
      </w:r>
      <w:r>
        <w:rPr>
          <w:i/>
          <w:sz w:val="24"/>
          <w:szCs w:val="24"/>
        </w:rPr>
        <w:t>RERI Grant / working paper.</w:t>
      </w:r>
    </w:p>
    <w:p w:rsidR="00FC59F9" w:rsidRPr="00FC59F9" w:rsidRDefault="00FC59F9" w:rsidP="00C20839">
      <w:pPr>
        <w:spacing w:after="80" w:line="360" w:lineRule="auto"/>
        <w:ind w:left="270" w:hanging="270"/>
        <w:rPr>
          <w:sz w:val="24"/>
          <w:szCs w:val="24"/>
        </w:rPr>
      </w:pPr>
      <w:r>
        <w:rPr>
          <w:sz w:val="24"/>
          <w:szCs w:val="24"/>
        </w:rPr>
        <w:t xml:space="preserve">Dickey, D., Fuller, W.A. (1981). Likelihood Ratio Statistics for Autoregressive Time Series with a Unit Root. </w:t>
      </w:r>
      <w:r>
        <w:rPr>
          <w:i/>
          <w:sz w:val="24"/>
          <w:szCs w:val="24"/>
        </w:rPr>
        <w:t xml:space="preserve">Econometrica, </w:t>
      </w:r>
      <w:r w:rsidR="00D86E40">
        <w:rPr>
          <w:sz w:val="24"/>
          <w:szCs w:val="24"/>
        </w:rPr>
        <w:t>49:</w:t>
      </w:r>
      <w:r>
        <w:rPr>
          <w:sz w:val="24"/>
          <w:szCs w:val="24"/>
        </w:rPr>
        <w:t>1057–1072.</w:t>
      </w:r>
    </w:p>
    <w:p w:rsidR="005A11EE" w:rsidRDefault="005A11EE" w:rsidP="005A11EE">
      <w:pPr>
        <w:spacing w:after="80" w:line="360" w:lineRule="auto"/>
        <w:ind w:left="270" w:hanging="270"/>
        <w:rPr>
          <w:sz w:val="24"/>
          <w:szCs w:val="24"/>
        </w:rPr>
      </w:pPr>
      <w:r>
        <w:rPr>
          <w:sz w:val="24"/>
          <w:szCs w:val="24"/>
        </w:rPr>
        <w:t xml:space="preserve">Fisher, J., Gatzlaff, D., Geltner, D., Haurin, D. (2003). Controlling for the Impact of Variable Liquidity in Commercial Real Estate Price Indices. </w:t>
      </w:r>
      <w:r>
        <w:rPr>
          <w:i/>
          <w:sz w:val="24"/>
          <w:szCs w:val="24"/>
        </w:rPr>
        <w:t>Real Estate Economics</w:t>
      </w:r>
      <w:r w:rsidR="00D86E40">
        <w:rPr>
          <w:i/>
          <w:sz w:val="24"/>
          <w:szCs w:val="24"/>
        </w:rPr>
        <w:t>,</w:t>
      </w:r>
      <w:r>
        <w:rPr>
          <w:i/>
          <w:sz w:val="24"/>
          <w:szCs w:val="24"/>
        </w:rPr>
        <w:t xml:space="preserve"> </w:t>
      </w:r>
      <w:r w:rsidRPr="00C261BC">
        <w:rPr>
          <w:sz w:val="24"/>
        </w:rPr>
        <w:t>31</w:t>
      </w:r>
      <w:r w:rsidR="00D86E40" w:rsidRPr="00D86E40">
        <w:rPr>
          <w:sz w:val="24"/>
          <w:szCs w:val="24"/>
        </w:rPr>
        <w:t>:269–303</w:t>
      </w:r>
      <w:r w:rsidRPr="00D86E40">
        <w:rPr>
          <w:sz w:val="24"/>
          <w:szCs w:val="24"/>
        </w:rPr>
        <w:t>.</w:t>
      </w:r>
    </w:p>
    <w:p w:rsidR="000C5DF7" w:rsidRPr="000C5DF7" w:rsidRDefault="000C5DF7" w:rsidP="005A11EE">
      <w:pPr>
        <w:spacing w:after="80" w:line="360" w:lineRule="auto"/>
        <w:ind w:left="270" w:hanging="270"/>
        <w:rPr>
          <w:i/>
          <w:sz w:val="24"/>
          <w:szCs w:val="24"/>
        </w:rPr>
      </w:pPr>
      <w:r>
        <w:rPr>
          <w:sz w:val="24"/>
          <w:szCs w:val="24"/>
        </w:rPr>
        <w:t xml:space="preserve">Friesen, G.C., Sapp, T.R.A. (2007). Mutual Fund Flows and Investor Returns: An Empirical Examination of Fund Investor Timing Ability. </w:t>
      </w:r>
      <w:r>
        <w:rPr>
          <w:i/>
          <w:sz w:val="24"/>
          <w:szCs w:val="24"/>
        </w:rPr>
        <w:t xml:space="preserve">Journal of Banking and Finance, </w:t>
      </w:r>
      <w:r>
        <w:rPr>
          <w:sz w:val="24"/>
          <w:szCs w:val="24"/>
        </w:rPr>
        <w:t>31:2796–2816.</w:t>
      </w:r>
      <w:r>
        <w:rPr>
          <w:i/>
          <w:sz w:val="24"/>
          <w:szCs w:val="24"/>
        </w:rPr>
        <w:t xml:space="preserve"> </w:t>
      </w:r>
    </w:p>
    <w:p w:rsidR="00CE2FE7" w:rsidRDefault="00CE2FE7" w:rsidP="00CE2FE7">
      <w:pPr>
        <w:spacing w:after="80" w:line="360" w:lineRule="auto"/>
        <w:ind w:left="270" w:hanging="270"/>
        <w:rPr>
          <w:sz w:val="24"/>
          <w:szCs w:val="24"/>
        </w:rPr>
      </w:pPr>
      <w:r w:rsidRPr="00CE2FE7">
        <w:rPr>
          <w:sz w:val="24"/>
          <w:szCs w:val="24"/>
        </w:rPr>
        <w:t>Geltner, D</w:t>
      </w:r>
      <w:r w:rsidR="00FD6531">
        <w:rPr>
          <w:sz w:val="24"/>
          <w:szCs w:val="24"/>
        </w:rPr>
        <w:t>.</w:t>
      </w:r>
      <w:r w:rsidRPr="00CE2FE7">
        <w:rPr>
          <w:sz w:val="24"/>
          <w:szCs w:val="24"/>
        </w:rPr>
        <w:t>, Pollakowski,</w:t>
      </w:r>
      <w:r w:rsidR="00FD6531">
        <w:rPr>
          <w:sz w:val="24"/>
          <w:szCs w:val="24"/>
        </w:rPr>
        <w:t xml:space="preserve"> H.</w:t>
      </w:r>
      <w:r w:rsidRPr="00CE2FE7">
        <w:rPr>
          <w:sz w:val="24"/>
          <w:szCs w:val="24"/>
        </w:rPr>
        <w:t xml:space="preserve"> </w:t>
      </w:r>
      <w:r w:rsidR="00FD6531">
        <w:rPr>
          <w:sz w:val="24"/>
          <w:szCs w:val="24"/>
        </w:rPr>
        <w:t>(</w:t>
      </w:r>
      <w:r w:rsidRPr="00CE2FE7">
        <w:rPr>
          <w:sz w:val="24"/>
          <w:szCs w:val="24"/>
        </w:rPr>
        <w:t>2007</w:t>
      </w:r>
      <w:r w:rsidR="00FD6531">
        <w:rPr>
          <w:sz w:val="24"/>
          <w:szCs w:val="24"/>
        </w:rPr>
        <w:t>).</w:t>
      </w:r>
      <w:r w:rsidRPr="00CE2FE7">
        <w:rPr>
          <w:sz w:val="24"/>
          <w:szCs w:val="24"/>
        </w:rPr>
        <w:t xml:space="preserve"> A Set of Indexes for Trading Commercial Real</w:t>
      </w:r>
      <w:r>
        <w:rPr>
          <w:sz w:val="24"/>
          <w:szCs w:val="24"/>
        </w:rPr>
        <w:t xml:space="preserve"> </w:t>
      </w:r>
      <w:r w:rsidRPr="00CE2FE7">
        <w:rPr>
          <w:sz w:val="24"/>
          <w:szCs w:val="24"/>
        </w:rPr>
        <w:t>Estate Based on the Real Capital Analytics Transaction Prices Database, MIT/CREDL.</w:t>
      </w:r>
      <w:r>
        <w:rPr>
          <w:sz w:val="24"/>
          <w:szCs w:val="24"/>
        </w:rPr>
        <w:t xml:space="preserve"> </w:t>
      </w:r>
    </w:p>
    <w:p w:rsidR="00454E83" w:rsidRDefault="00454E83" w:rsidP="00454E83">
      <w:pPr>
        <w:spacing w:after="80" w:line="360" w:lineRule="auto"/>
        <w:ind w:left="270" w:hanging="270"/>
        <w:rPr>
          <w:sz w:val="24"/>
          <w:szCs w:val="24"/>
        </w:rPr>
      </w:pPr>
      <w:r>
        <w:rPr>
          <w:sz w:val="24"/>
          <w:szCs w:val="24"/>
        </w:rPr>
        <w:t xml:space="preserve">Gervais, S., Kaniel, R., Mingelgrin, D. (2001). The High Volume Return Premium. </w:t>
      </w:r>
      <w:r>
        <w:rPr>
          <w:i/>
          <w:sz w:val="24"/>
          <w:szCs w:val="24"/>
        </w:rPr>
        <w:t xml:space="preserve">Journal of Finance, </w:t>
      </w:r>
      <w:r>
        <w:rPr>
          <w:sz w:val="24"/>
          <w:szCs w:val="24"/>
        </w:rPr>
        <w:t>56</w:t>
      </w:r>
      <w:r w:rsidR="006D7303">
        <w:rPr>
          <w:sz w:val="24"/>
          <w:szCs w:val="24"/>
        </w:rPr>
        <w:t>:</w:t>
      </w:r>
      <w:r>
        <w:rPr>
          <w:sz w:val="24"/>
          <w:szCs w:val="24"/>
        </w:rPr>
        <w:t>877–919.</w:t>
      </w:r>
    </w:p>
    <w:p w:rsidR="00484695" w:rsidRDefault="00484695" w:rsidP="00484695">
      <w:pPr>
        <w:spacing w:after="80" w:line="360" w:lineRule="auto"/>
        <w:ind w:left="270" w:hanging="270"/>
        <w:rPr>
          <w:sz w:val="24"/>
          <w:szCs w:val="24"/>
        </w:rPr>
      </w:pPr>
      <w:r>
        <w:rPr>
          <w:sz w:val="24"/>
          <w:szCs w:val="24"/>
        </w:rPr>
        <w:t xml:space="preserve">Ghysels, E., Plazzi, A., Valkanov, R. (2007). Valuation in US Commercial Real Estate. </w:t>
      </w:r>
      <w:r>
        <w:rPr>
          <w:i/>
          <w:sz w:val="24"/>
          <w:szCs w:val="24"/>
        </w:rPr>
        <w:t xml:space="preserve">European Financial Management, </w:t>
      </w:r>
      <w:r w:rsidR="006D7303">
        <w:rPr>
          <w:sz w:val="24"/>
          <w:szCs w:val="24"/>
        </w:rPr>
        <w:t>13:</w:t>
      </w:r>
      <w:r>
        <w:rPr>
          <w:sz w:val="24"/>
          <w:szCs w:val="24"/>
        </w:rPr>
        <w:t>472–497.</w:t>
      </w:r>
    </w:p>
    <w:p w:rsidR="00C20839" w:rsidRDefault="005A11EE" w:rsidP="00CE2FE7">
      <w:pPr>
        <w:spacing w:after="80" w:line="360" w:lineRule="auto"/>
        <w:ind w:left="270" w:hanging="270"/>
        <w:rPr>
          <w:sz w:val="24"/>
          <w:szCs w:val="24"/>
        </w:rPr>
      </w:pPr>
      <w:r>
        <w:rPr>
          <w:sz w:val="24"/>
          <w:szCs w:val="24"/>
        </w:rPr>
        <w:t>Ghysels</w:t>
      </w:r>
      <w:r w:rsidR="004C0080">
        <w:rPr>
          <w:sz w:val="24"/>
          <w:szCs w:val="24"/>
        </w:rPr>
        <w:t xml:space="preserve">, </w:t>
      </w:r>
      <w:r>
        <w:rPr>
          <w:sz w:val="24"/>
          <w:szCs w:val="24"/>
        </w:rPr>
        <w:t>E</w:t>
      </w:r>
      <w:r w:rsidR="004C0080">
        <w:rPr>
          <w:sz w:val="24"/>
          <w:szCs w:val="24"/>
        </w:rPr>
        <w:t xml:space="preserve">., </w:t>
      </w:r>
      <w:r>
        <w:rPr>
          <w:sz w:val="24"/>
          <w:szCs w:val="24"/>
        </w:rPr>
        <w:t>Plazzi</w:t>
      </w:r>
      <w:r w:rsidR="004C0080">
        <w:rPr>
          <w:sz w:val="24"/>
          <w:szCs w:val="24"/>
        </w:rPr>
        <w:t xml:space="preserve">, </w:t>
      </w:r>
      <w:r>
        <w:rPr>
          <w:sz w:val="24"/>
          <w:szCs w:val="24"/>
        </w:rPr>
        <w:t>A</w:t>
      </w:r>
      <w:r w:rsidR="004C0080">
        <w:rPr>
          <w:sz w:val="24"/>
          <w:szCs w:val="24"/>
        </w:rPr>
        <w:t xml:space="preserve">., </w:t>
      </w:r>
      <w:r>
        <w:rPr>
          <w:sz w:val="24"/>
          <w:szCs w:val="24"/>
        </w:rPr>
        <w:t>Torous</w:t>
      </w:r>
      <w:r w:rsidR="004C0080">
        <w:rPr>
          <w:sz w:val="24"/>
          <w:szCs w:val="24"/>
        </w:rPr>
        <w:t xml:space="preserve">, </w:t>
      </w:r>
      <w:r>
        <w:rPr>
          <w:sz w:val="24"/>
          <w:szCs w:val="24"/>
        </w:rPr>
        <w:t>W</w:t>
      </w:r>
      <w:r w:rsidR="004C0080">
        <w:rPr>
          <w:sz w:val="24"/>
          <w:szCs w:val="24"/>
        </w:rPr>
        <w:t xml:space="preserve">., </w:t>
      </w:r>
      <w:r>
        <w:rPr>
          <w:sz w:val="24"/>
          <w:szCs w:val="24"/>
        </w:rPr>
        <w:t>Valkanov</w:t>
      </w:r>
      <w:r w:rsidR="004C0080">
        <w:rPr>
          <w:sz w:val="24"/>
          <w:szCs w:val="24"/>
        </w:rPr>
        <w:t xml:space="preserve">, </w:t>
      </w:r>
      <w:r>
        <w:rPr>
          <w:sz w:val="24"/>
          <w:szCs w:val="24"/>
        </w:rPr>
        <w:t>R</w:t>
      </w:r>
      <w:r w:rsidR="004C0080">
        <w:rPr>
          <w:sz w:val="24"/>
          <w:szCs w:val="24"/>
        </w:rPr>
        <w:t>. (20</w:t>
      </w:r>
      <w:r>
        <w:rPr>
          <w:sz w:val="24"/>
          <w:szCs w:val="24"/>
        </w:rPr>
        <w:t>12</w:t>
      </w:r>
      <w:r w:rsidR="004C0080">
        <w:rPr>
          <w:sz w:val="24"/>
          <w:szCs w:val="24"/>
        </w:rPr>
        <w:t>)</w:t>
      </w:r>
      <w:r w:rsidR="00C20839">
        <w:rPr>
          <w:sz w:val="24"/>
          <w:szCs w:val="24"/>
        </w:rPr>
        <w:t>.</w:t>
      </w:r>
      <w:r w:rsidR="004C0080">
        <w:rPr>
          <w:sz w:val="24"/>
          <w:szCs w:val="24"/>
        </w:rPr>
        <w:t xml:space="preserve"> </w:t>
      </w:r>
      <w:r>
        <w:rPr>
          <w:sz w:val="24"/>
          <w:szCs w:val="24"/>
        </w:rPr>
        <w:t>Forecasting Real Estate Prices</w:t>
      </w:r>
      <w:r w:rsidR="004C0080">
        <w:rPr>
          <w:sz w:val="24"/>
          <w:szCs w:val="24"/>
        </w:rPr>
        <w:t xml:space="preserve">. </w:t>
      </w:r>
      <w:r>
        <w:rPr>
          <w:sz w:val="24"/>
          <w:szCs w:val="24"/>
        </w:rPr>
        <w:t xml:space="preserve">In </w:t>
      </w:r>
      <w:r w:rsidRPr="005A11EE">
        <w:rPr>
          <w:i/>
          <w:sz w:val="24"/>
          <w:szCs w:val="24"/>
        </w:rPr>
        <w:t>Handbook of Economic Forecasting</w:t>
      </w:r>
      <w:r>
        <w:rPr>
          <w:sz w:val="24"/>
          <w:szCs w:val="24"/>
        </w:rPr>
        <w:t>.</w:t>
      </w:r>
    </w:p>
    <w:p w:rsidR="008C4152" w:rsidRDefault="008C4152" w:rsidP="00CE2FE7">
      <w:pPr>
        <w:spacing w:after="80" w:line="360" w:lineRule="auto"/>
        <w:ind w:left="270" w:hanging="270"/>
        <w:rPr>
          <w:sz w:val="24"/>
          <w:szCs w:val="24"/>
        </w:rPr>
      </w:pPr>
      <w:r w:rsidRPr="008C4152">
        <w:rPr>
          <w:sz w:val="24"/>
          <w:szCs w:val="24"/>
        </w:rPr>
        <w:t xml:space="preserve">Grovenstein, R.A., Harding, J.P., Sirmans, C.F., Thebpanya, S., Turnbull, G.K. (2005). Commercial </w:t>
      </w:r>
      <w:r w:rsidR="0097070A">
        <w:rPr>
          <w:sz w:val="24"/>
          <w:szCs w:val="24"/>
        </w:rPr>
        <w:t>M</w:t>
      </w:r>
      <w:r w:rsidRPr="008C4152">
        <w:rPr>
          <w:sz w:val="24"/>
          <w:szCs w:val="24"/>
        </w:rPr>
        <w:t xml:space="preserve">ortgage </w:t>
      </w:r>
      <w:r w:rsidR="0097070A">
        <w:rPr>
          <w:sz w:val="24"/>
          <w:szCs w:val="24"/>
        </w:rPr>
        <w:t>U</w:t>
      </w:r>
      <w:r w:rsidRPr="008C4152">
        <w:rPr>
          <w:sz w:val="24"/>
          <w:szCs w:val="24"/>
        </w:rPr>
        <w:t xml:space="preserve">nderwriting: How </w:t>
      </w:r>
      <w:r w:rsidR="0097070A">
        <w:rPr>
          <w:sz w:val="24"/>
          <w:szCs w:val="24"/>
        </w:rPr>
        <w:t>W</w:t>
      </w:r>
      <w:r w:rsidRPr="008C4152">
        <w:rPr>
          <w:sz w:val="24"/>
          <w:szCs w:val="24"/>
        </w:rPr>
        <w:t xml:space="preserve">ell </w:t>
      </w:r>
      <w:r w:rsidR="0097070A">
        <w:rPr>
          <w:sz w:val="24"/>
          <w:szCs w:val="24"/>
        </w:rPr>
        <w:t>D</w:t>
      </w:r>
      <w:r w:rsidRPr="008C4152">
        <w:rPr>
          <w:sz w:val="24"/>
          <w:szCs w:val="24"/>
        </w:rPr>
        <w:t xml:space="preserve">o </w:t>
      </w:r>
      <w:r w:rsidR="0097070A">
        <w:rPr>
          <w:sz w:val="24"/>
          <w:szCs w:val="24"/>
        </w:rPr>
        <w:t>L</w:t>
      </w:r>
      <w:r w:rsidRPr="008C4152">
        <w:rPr>
          <w:sz w:val="24"/>
          <w:szCs w:val="24"/>
        </w:rPr>
        <w:t xml:space="preserve">enders </w:t>
      </w:r>
      <w:r w:rsidR="0097070A">
        <w:rPr>
          <w:sz w:val="24"/>
          <w:szCs w:val="24"/>
        </w:rPr>
        <w:t>M</w:t>
      </w:r>
      <w:r w:rsidRPr="008C4152">
        <w:rPr>
          <w:sz w:val="24"/>
          <w:szCs w:val="24"/>
        </w:rPr>
        <w:t xml:space="preserve">anage the </w:t>
      </w:r>
      <w:r w:rsidR="0097070A">
        <w:rPr>
          <w:sz w:val="24"/>
          <w:szCs w:val="24"/>
        </w:rPr>
        <w:t>R</w:t>
      </w:r>
      <w:r w:rsidRPr="008C4152">
        <w:rPr>
          <w:sz w:val="24"/>
          <w:szCs w:val="24"/>
        </w:rPr>
        <w:t xml:space="preserve">isks? </w:t>
      </w:r>
      <w:r w:rsidRPr="008C4152">
        <w:rPr>
          <w:i/>
          <w:sz w:val="24"/>
          <w:szCs w:val="24"/>
        </w:rPr>
        <w:t>Journal of Housing Economics</w:t>
      </w:r>
      <w:r w:rsidRPr="008C4152">
        <w:rPr>
          <w:sz w:val="24"/>
          <w:szCs w:val="24"/>
        </w:rPr>
        <w:t>, 14</w:t>
      </w:r>
      <w:r>
        <w:rPr>
          <w:sz w:val="24"/>
          <w:szCs w:val="24"/>
        </w:rPr>
        <w:t>:</w:t>
      </w:r>
      <w:r w:rsidRPr="008C4152">
        <w:rPr>
          <w:sz w:val="24"/>
          <w:szCs w:val="24"/>
        </w:rPr>
        <w:t>355</w:t>
      </w:r>
      <w:r>
        <w:rPr>
          <w:sz w:val="24"/>
          <w:szCs w:val="24"/>
        </w:rPr>
        <w:t>–</w:t>
      </w:r>
      <w:r w:rsidRPr="008C4152">
        <w:rPr>
          <w:sz w:val="24"/>
          <w:szCs w:val="24"/>
        </w:rPr>
        <w:t>383.</w:t>
      </w:r>
    </w:p>
    <w:p w:rsidR="00B161D6" w:rsidRPr="004E70B0" w:rsidRDefault="00B161D6" w:rsidP="008C167A">
      <w:pPr>
        <w:spacing w:after="80" w:line="360" w:lineRule="auto"/>
        <w:ind w:left="270" w:hanging="270"/>
        <w:rPr>
          <w:sz w:val="24"/>
          <w:szCs w:val="24"/>
        </w:rPr>
      </w:pPr>
      <w:r w:rsidRPr="004E70B0">
        <w:rPr>
          <w:sz w:val="24"/>
          <w:szCs w:val="24"/>
        </w:rPr>
        <w:t>Jorgenson</w:t>
      </w:r>
      <w:r w:rsidR="004E70B0" w:rsidRPr="004E70B0">
        <w:rPr>
          <w:sz w:val="24"/>
          <w:szCs w:val="24"/>
        </w:rPr>
        <w:t>, D. (1960</w:t>
      </w:r>
      <w:r w:rsidRPr="004E70B0">
        <w:rPr>
          <w:sz w:val="24"/>
          <w:szCs w:val="24"/>
        </w:rPr>
        <w:t>)</w:t>
      </w:r>
      <w:r w:rsidR="004E70B0" w:rsidRPr="004E70B0">
        <w:rPr>
          <w:sz w:val="24"/>
          <w:szCs w:val="24"/>
        </w:rPr>
        <w:t xml:space="preserve">. A Dual Stability Theorem. </w:t>
      </w:r>
      <w:r w:rsidR="004E70B0" w:rsidRPr="004E70B0">
        <w:rPr>
          <w:i/>
          <w:sz w:val="24"/>
          <w:szCs w:val="24"/>
        </w:rPr>
        <w:t>Econometrica,</w:t>
      </w:r>
      <w:r w:rsidR="004E70B0" w:rsidRPr="004E70B0">
        <w:rPr>
          <w:sz w:val="24"/>
          <w:szCs w:val="24"/>
        </w:rPr>
        <w:t xml:space="preserve"> 28:892–999.</w:t>
      </w:r>
    </w:p>
    <w:p w:rsidR="00FC59F9" w:rsidRDefault="00FC59F9" w:rsidP="008C167A">
      <w:pPr>
        <w:spacing w:after="80" w:line="360" w:lineRule="auto"/>
        <w:ind w:left="270" w:hanging="270"/>
        <w:rPr>
          <w:sz w:val="24"/>
          <w:szCs w:val="24"/>
        </w:rPr>
      </w:pPr>
      <w:r>
        <w:rPr>
          <w:sz w:val="24"/>
          <w:szCs w:val="24"/>
        </w:rPr>
        <w:t xml:space="preserve">Johansen, S. (1988). Statistical Analysis of Cointegration Vectors. </w:t>
      </w:r>
      <w:r>
        <w:rPr>
          <w:i/>
          <w:sz w:val="24"/>
          <w:szCs w:val="24"/>
        </w:rPr>
        <w:t xml:space="preserve">Journal of Economics Dynamics and Control, </w:t>
      </w:r>
      <w:r w:rsidR="006D7303">
        <w:rPr>
          <w:sz w:val="24"/>
          <w:szCs w:val="24"/>
        </w:rPr>
        <w:t>12:</w:t>
      </w:r>
      <w:r>
        <w:rPr>
          <w:sz w:val="24"/>
          <w:szCs w:val="24"/>
        </w:rPr>
        <w:t>231–254.</w:t>
      </w:r>
    </w:p>
    <w:p w:rsidR="007D7629" w:rsidRPr="007D7629" w:rsidRDefault="007D7629" w:rsidP="008C167A">
      <w:pPr>
        <w:spacing w:after="80" w:line="360" w:lineRule="auto"/>
        <w:ind w:left="270" w:hanging="270"/>
        <w:rPr>
          <w:sz w:val="24"/>
          <w:szCs w:val="24"/>
        </w:rPr>
      </w:pPr>
      <w:r>
        <w:rPr>
          <w:sz w:val="24"/>
          <w:szCs w:val="24"/>
        </w:rPr>
        <w:t xml:space="preserve">Kaniel, R., Ozoguz, A., Starks, L. (2012). The High Volume Return Premium: Cross-country Evidence. </w:t>
      </w:r>
      <w:r>
        <w:rPr>
          <w:i/>
          <w:sz w:val="24"/>
          <w:szCs w:val="24"/>
        </w:rPr>
        <w:t xml:space="preserve">Journal of Financial Economics, </w:t>
      </w:r>
      <w:r>
        <w:rPr>
          <w:sz w:val="24"/>
          <w:szCs w:val="24"/>
        </w:rPr>
        <w:t>103</w:t>
      </w:r>
      <w:r w:rsidR="006D7303">
        <w:rPr>
          <w:sz w:val="24"/>
          <w:szCs w:val="24"/>
        </w:rPr>
        <w:t>:</w:t>
      </w:r>
      <w:r>
        <w:rPr>
          <w:sz w:val="24"/>
          <w:szCs w:val="24"/>
        </w:rPr>
        <w:t>255–279.</w:t>
      </w:r>
    </w:p>
    <w:p w:rsidR="00A90937" w:rsidRPr="006D7303" w:rsidRDefault="00A90937" w:rsidP="006D7303">
      <w:pPr>
        <w:spacing w:after="80" w:line="360" w:lineRule="auto"/>
        <w:ind w:left="270" w:hanging="270"/>
        <w:rPr>
          <w:sz w:val="24"/>
          <w:szCs w:val="24"/>
        </w:rPr>
      </w:pPr>
      <w:r>
        <w:rPr>
          <w:sz w:val="24"/>
          <w:szCs w:val="24"/>
        </w:rPr>
        <w:t xml:space="preserve">Karpoff, </w:t>
      </w:r>
      <w:r w:rsidR="006D7303">
        <w:rPr>
          <w:sz w:val="24"/>
          <w:szCs w:val="24"/>
        </w:rPr>
        <w:t>J.M. (</w:t>
      </w:r>
      <w:r>
        <w:rPr>
          <w:sz w:val="24"/>
          <w:szCs w:val="24"/>
        </w:rPr>
        <w:t>1987</w:t>
      </w:r>
      <w:r w:rsidR="006D7303">
        <w:rPr>
          <w:sz w:val="24"/>
          <w:szCs w:val="24"/>
        </w:rPr>
        <w:t xml:space="preserve">). The Relation between Price Changes and Trading Volume: A Survey. </w:t>
      </w:r>
      <w:r w:rsidR="006D7303">
        <w:rPr>
          <w:i/>
          <w:sz w:val="24"/>
          <w:szCs w:val="24"/>
        </w:rPr>
        <w:t xml:space="preserve">Journal of Financial and Quantitative Analysis, </w:t>
      </w:r>
      <w:r w:rsidR="006D7303">
        <w:rPr>
          <w:sz w:val="24"/>
          <w:szCs w:val="24"/>
        </w:rPr>
        <w:t>22:109–126.</w:t>
      </w:r>
    </w:p>
    <w:p w:rsidR="00A90937" w:rsidRDefault="00A90937" w:rsidP="006D7303">
      <w:pPr>
        <w:spacing w:after="80" w:line="360" w:lineRule="auto"/>
        <w:ind w:left="270" w:hanging="270"/>
        <w:rPr>
          <w:sz w:val="24"/>
          <w:szCs w:val="24"/>
        </w:rPr>
      </w:pPr>
      <w:r>
        <w:rPr>
          <w:sz w:val="24"/>
          <w:szCs w:val="24"/>
        </w:rPr>
        <w:t>Lee</w:t>
      </w:r>
      <w:r w:rsidR="006D7303">
        <w:rPr>
          <w:sz w:val="24"/>
          <w:szCs w:val="24"/>
        </w:rPr>
        <w:t xml:space="preserve">, T.H., </w:t>
      </w:r>
      <w:r>
        <w:rPr>
          <w:sz w:val="24"/>
          <w:szCs w:val="24"/>
        </w:rPr>
        <w:t xml:space="preserve">Rui, </w:t>
      </w:r>
      <w:r w:rsidR="006D7303">
        <w:rPr>
          <w:sz w:val="24"/>
          <w:szCs w:val="24"/>
        </w:rPr>
        <w:t>O. (</w:t>
      </w:r>
      <w:r>
        <w:rPr>
          <w:sz w:val="24"/>
          <w:szCs w:val="24"/>
        </w:rPr>
        <w:t>2002</w:t>
      </w:r>
      <w:r w:rsidR="006D7303">
        <w:rPr>
          <w:sz w:val="24"/>
          <w:szCs w:val="24"/>
        </w:rPr>
        <w:t xml:space="preserve">). The Dynamic Relationship between Stock Return and Trading Volume: Domestic and Cross-country Evidence. </w:t>
      </w:r>
      <w:r w:rsidR="006D7303">
        <w:rPr>
          <w:i/>
          <w:sz w:val="24"/>
          <w:szCs w:val="24"/>
        </w:rPr>
        <w:t xml:space="preserve">Journal of Banking and Finance, </w:t>
      </w:r>
      <w:r w:rsidR="006D7303">
        <w:rPr>
          <w:sz w:val="24"/>
          <w:szCs w:val="24"/>
        </w:rPr>
        <w:t>26:51–78.</w:t>
      </w:r>
      <w:r>
        <w:rPr>
          <w:sz w:val="24"/>
          <w:szCs w:val="24"/>
        </w:rPr>
        <w:t xml:space="preserve"> </w:t>
      </w:r>
    </w:p>
    <w:p w:rsidR="008C167A" w:rsidRDefault="008C167A" w:rsidP="008C167A">
      <w:pPr>
        <w:spacing w:after="80" w:line="360" w:lineRule="auto"/>
        <w:ind w:left="270" w:hanging="270"/>
        <w:rPr>
          <w:i/>
          <w:sz w:val="24"/>
          <w:szCs w:val="24"/>
        </w:rPr>
      </w:pPr>
      <w:r>
        <w:rPr>
          <w:sz w:val="24"/>
          <w:szCs w:val="24"/>
        </w:rPr>
        <w:t xml:space="preserve">Ling, D.C., Marcato, G., McAllister, P. (2009). Dynamics of Asset Prices and Transaction Activity in Illiquid Markets: the Case of Private Commercial Real Estate. </w:t>
      </w:r>
      <w:r w:rsidR="0041208B">
        <w:rPr>
          <w:i/>
          <w:sz w:val="24"/>
          <w:szCs w:val="24"/>
        </w:rPr>
        <w:t xml:space="preserve">Journal of Real Estate Finance and Economics, </w:t>
      </w:r>
      <w:r w:rsidR="006D7303">
        <w:rPr>
          <w:sz w:val="24"/>
          <w:szCs w:val="24"/>
        </w:rPr>
        <w:t>39:</w:t>
      </w:r>
      <w:r w:rsidR="0041208B">
        <w:rPr>
          <w:sz w:val="24"/>
          <w:szCs w:val="24"/>
        </w:rPr>
        <w:t>359–383</w:t>
      </w:r>
      <w:r>
        <w:rPr>
          <w:i/>
          <w:sz w:val="24"/>
          <w:szCs w:val="24"/>
        </w:rPr>
        <w:t>.</w:t>
      </w:r>
    </w:p>
    <w:p w:rsidR="00C20839" w:rsidRDefault="00C20839" w:rsidP="00C20839">
      <w:pPr>
        <w:spacing w:after="80" w:line="360" w:lineRule="auto"/>
        <w:ind w:left="270" w:hanging="270"/>
        <w:rPr>
          <w:i/>
          <w:sz w:val="24"/>
          <w:szCs w:val="24"/>
        </w:rPr>
      </w:pPr>
      <w:r>
        <w:rPr>
          <w:sz w:val="24"/>
          <w:szCs w:val="24"/>
        </w:rPr>
        <w:t xml:space="preserve">Ling, D.C., Naranjo, A., Scheick, B. (2014). Credit Availability and Asset Pricing Dynamics in Illiquid Markets: Evidence from Commercial Real Estate Markets. </w:t>
      </w:r>
      <w:r>
        <w:rPr>
          <w:i/>
          <w:sz w:val="24"/>
          <w:szCs w:val="24"/>
        </w:rPr>
        <w:t>RERI Grant / working paper.</w:t>
      </w:r>
    </w:p>
    <w:p w:rsidR="0038429A" w:rsidRPr="0038429A" w:rsidRDefault="0038429A" w:rsidP="0038429A">
      <w:pPr>
        <w:spacing w:after="80" w:line="360" w:lineRule="auto"/>
        <w:ind w:left="270" w:hanging="270"/>
        <w:rPr>
          <w:sz w:val="24"/>
          <w:szCs w:val="24"/>
        </w:rPr>
      </w:pPr>
      <w:r>
        <w:rPr>
          <w:sz w:val="24"/>
          <w:szCs w:val="24"/>
        </w:rPr>
        <w:t>MacKinnon, G.H., Al</w:t>
      </w:r>
      <w:r w:rsidR="00B161D6">
        <w:rPr>
          <w:sz w:val="24"/>
          <w:szCs w:val="24"/>
        </w:rPr>
        <w:t>-</w:t>
      </w:r>
      <w:r>
        <w:rPr>
          <w:sz w:val="24"/>
          <w:szCs w:val="24"/>
        </w:rPr>
        <w:t xml:space="preserve">Zaman, A. (2009). Real Estate for the Long Term: The Effect of Return Predictability on Long-Horizon Allocations. </w:t>
      </w:r>
      <w:r>
        <w:rPr>
          <w:i/>
          <w:sz w:val="24"/>
          <w:szCs w:val="24"/>
        </w:rPr>
        <w:t xml:space="preserve">Real Estate Economics, </w:t>
      </w:r>
      <w:r w:rsidR="006D7303">
        <w:rPr>
          <w:sz w:val="24"/>
          <w:szCs w:val="24"/>
        </w:rPr>
        <w:t>37:</w:t>
      </w:r>
      <w:r>
        <w:rPr>
          <w:sz w:val="24"/>
          <w:szCs w:val="24"/>
        </w:rPr>
        <w:t>117–153.</w:t>
      </w:r>
    </w:p>
    <w:p w:rsidR="0038429A" w:rsidRPr="0038429A" w:rsidRDefault="0038429A" w:rsidP="00C20839">
      <w:pPr>
        <w:spacing w:after="80" w:line="360" w:lineRule="auto"/>
        <w:ind w:left="270" w:hanging="270"/>
        <w:rPr>
          <w:sz w:val="24"/>
          <w:szCs w:val="24"/>
        </w:rPr>
      </w:pPr>
      <w:r>
        <w:rPr>
          <w:sz w:val="24"/>
          <w:szCs w:val="24"/>
        </w:rPr>
        <w:t xml:space="preserve">Plazzi, A., Torous, W., Valkanov, R. (2011). Exploiting Property Characteristics in Commercial Real Estate Portfolio Allocation. </w:t>
      </w:r>
      <w:r>
        <w:rPr>
          <w:i/>
          <w:sz w:val="24"/>
          <w:szCs w:val="24"/>
        </w:rPr>
        <w:t xml:space="preserve">Journal of Portfolio Management, </w:t>
      </w:r>
      <w:r w:rsidR="006D7303">
        <w:rPr>
          <w:sz w:val="24"/>
          <w:szCs w:val="24"/>
        </w:rPr>
        <w:t>35:</w:t>
      </w:r>
      <w:r>
        <w:rPr>
          <w:sz w:val="24"/>
          <w:szCs w:val="24"/>
        </w:rPr>
        <w:t>39–50.</w:t>
      </w:r>
    </w:p>
    <w:p w:rsidR="00C20839" w:rsidRDefault="00C20839" w:rsidP="00C20839">
      <w:pPr>
        <w:spacing w:after="80" w:line="360" w:lineRule="auto"/>
        <w:ind w:left="270" w:hanging="270"/>
        <w:rPr>
          <w:sz w:val="24"/>
          <w:szCs w:val="24"/>
        </w:rPr>
      </w:pPr>
      <w:r>
        <w:rPr>
          <w:sz w:val="24"/>
          <w:szCs w:val="24"/>
        </w:rPr>
        <w:t xml:space="preserve">Wilcox, J. (2012). Commercial Real Estate: Underwriting, Mortgages, and Prices. </w:t>
      </w:r>
      <w:r>
        <w:rPr>
          <w:i/>
          <w:sz w:val="24"/>
          <w:szCs w:val="24"/>
        </w:rPr>
        <w:t>RERI Grant / working paper.</w:t>
      </w:r>
    </w:p>
    <w:p w:rsidR="00C20839" w:rsidRDefault="00C20839" w:rsidP="00C20839">
      <w:pPr>
        <w:spacing w:after="80" w:line="360" w:lineRule="auto"/>
        <w:ind w:left="270" w:hanging="270"/>
        <w:rPr>
          <w:sz w:val="24"/>
          <w:szCs w:val="24"/>
        </w:rPr>
      </w:pPr>
    </w:p>
    <w:p w:rsidR="00C20839" w:rsidRPr="00C20839" w:rsidRDefault="00C20839" w:rsidP="00C20839">
      <w:pPr>
        <w:spacing w:after="80" w:line="360" w:lineRule="auto"/>
        <w:ind w:left="270" w:hanging="270"/>
        <w:rPr>
          <w:sz w:val="24"/>
          <w:szCs w:val="24"/>
        </w:rPr>
      </w:pPr>
    </w:p>
    <w:p w:rsidR="00ED5D1B" w:rsidRDefault="00ED5D1B">
      <w:pPr>
        <w:overflowPunct/>
        <w:autoSpaceDE/>
        <w:autoSpaceDN/>
        <w:adjustRightInd/>
        <w:spacing w:after="200" w:line="276" w:lineRule="auto"/>
        <w:textAlignment w:val="auto"/>
        <w:rPr>
          <w:b/>
          <w:sz w:val="22"/>
          <w:szCs w:val="22"/>
        </w:rPr>
      </w:pPr>
      <w:r>
        <w:rPr>
          <w:b/>
          <w:sz w:val="22"/>
          <w:szCs w:val="22"/>
        </w:rPr>
        <w:br w:type="page"/>
      </w:r>
    </w:p>
    <w:p w:rsidR="00BE52DA" w:rsidRDefault="006D3AA2">
      <w:pPr>
        <w:overflowPunct/>
        <w:autoSpaceDE/>
        <w:autoSpaceDN/>
        <w:adjustRightInd/>
        <w:spacing w:after="200" w:line="276" w:lineRule="auto"/>
        <w:textAlignment w:val="auto"/>
        <w:rPr>
          <w:sz w:val="22"/>
          <w:szCs w:val="22"/>
        </w:rPr>
      </w:pPr>
      <w:r>
        <w:rPr>
          <w:b/>
          <w:sz w:val="22"/>
          <w:szCs w:val="22"/>
        </w:rPr>
        <w:t xml:space="preserve">Table 1.  </w:t>
      </w:r>
      <w:r w:rsidR="001F61F1">
        <w:rPr>
          <w:sz w:val="22"/>
          <w:szCs w:val="22"/>
        </w:rPr>
        <w:t>Summary s</w:t>
      </w:r>
      <w:r w:rsidRPr="009B05EC">
        <w:rPr>
          <w:sz w:val="22"/>
          <w:szCs w:val="22"/>
        </w:rPr>
        <w:t>tatistics</w:t>
      </w:r>
      <w:r w:rsidR="009B05EC">
        <w:rPr>
          <w:sz w:val="22"/>
          <w:szCs w:val="22"/>
        </w:rPr>
        <w:t>: 1990Q3</w:t>
      </w:r>
      <w:r w:rsidR="008D7B3D">
        <w:rPr>
          <w:sz w:val="22"/>
          <w:szCs w:val="22"/>
        </w:rPr>
        <w:t>–</w:t>
      </w:r>
      <w:r w:rsidR="009B05EC">
        <w:rPr>
          <w:sz w:val="22"/>
          <w:szCs w:val="22"/>
        </w:rPr>
        <w:t>2014Q2</w:t>
      </w:r>
    </w:p>
    <w:tbl>
      <w:tblPr>
        <w:tblW w:w="0" w:type="auto"/>
        <w:tblInd w:w="93" w:type="dxa"/>
        <w:tblLook w:val="04A0"/>
      </w:tblPr>
      <w:tblGrid>
        <w:gridCol w:w="1811"/>
        <w:gridCol w:w="733"/>
        <w:gridCol w:w="822"/>
        <w:gridCol w:w="800"/>
        <w:gridCol w:w="827"/>
        <w:gridCol w:w="733"/>
      </w:tblGrid>
      <w:tr w:rsidR="000E19B9" w:rsidRPr="000E19B9" w:rsidTr="000E19B9">
        <w:trPr>
          <w:trHeight w:val="20"/>
        </w:trPr>
        <w:tc>
          <w:tcPr>
            <w:tcW w:w="0" w:type="auto"/>
            <w:tcBorders>
              <w:top w:val="single" w:sz="12" w:space="0" w:color="auto"/>
              <w:left w:val="nil"/>
              <w:bottom w:val="double" w:sz="6" w:space="0" w:color="auto"/>
              <w:right w:val="nil"/>
            </w:tcBorders>
            <w:shd w:val="clear" w:color="auto" w:fill="auto"/>
            <w:noWrap/>
            <w:vAlign w:val="bottom"/>
            <w:hideMark/>
          </w:tcPr>
          <w:p w:rsidR="000E19B9" w:rsidRPr="000E19B9" w:rsidRDefault="000E19B9" w:rsidP="000E19B9">
            <w:pPr>
              <w:overflowPunct/>
              <w:autoSpaceDE/>
              <w:autoSpaceDN/>
              <w:adjustRightInd/>
              <w:spacing w:before="80"/>
              <w:textAlignment w:val="auto"/>
              <w:rPr>
                <w:color w:val="000000"/>
              </w:rPr>
            </w:pPr>
            <w:r w:rsidRPr="000E19B9">
              <w:rPr>
                <w:color w:val="000000"/>
              </w:rPr>
              <w:t>Variable</w:t>
            </w:r>
          </w:p>
        </w:tc>
        <w:tc>
          <w:tcPr>
            <w:tcW w:w="0" w:type="auto"/>
            <w:tcBorders>
              <w:top w:val="single" w:sz="12" w:space="0" w:color="auto"/>
              <w:left w:val="nil"/>
              <w:bottom w:val="double" w:sz="6" w:space="0" w:color="auto"/>
              <w:right w:val="nil"/>
            </w:tcBorders>
            <w:shd w:val="clear" w:color="auto" w:fill="auto"/>
            <w:noWrap/>
            <w:vAlign w:val="bottom"/>
            <w:hideMark/>
          </w:tcPr>
          <w:p w:rsidR="000E19B9" w:rsidRPr="000E19B9" w:rsidRDefault="000E19B9" w:rsidP="000E19B9">
            <w:pPr>
              <w:overflowPunct/>
              <w:autoSpaceDE/>
              <w:autoSpaceDN/>
              <w:adjustRightInd/>
              <w:spacing w:before="80"/>
              <w:jc w:val="right"/>
              <w:textAlignment w:val="auto"/>
              <w:rPr>
                <w:color w:val="000000"/>
              </w:rPr>
            </w:pPr>
            <w:r w:rsidRPr="000E19B9">
              <w:rPr>
                <w:color w:val="000000"/>
              </w:rPr>
              <w:t>Mean</w:t>
            </w:r>
          </w:p>
        </w:tc>
        <w:tc>
          <w:tcPr>
            <w:tcW w:w="0" w:type="auto"/>
            <w:tcBorders>
              <w:top w:val="single" w:sz="12" w:space="0" w:color="auto"/>
              <w:left w:val="nil"/>
              <w:bottom w:val="double" w:sz="6" w:space="0" w:color="auto"/>
              <w:right w:val="nil"/>
            </w:tcBorders>
            <w:shd w:val="clear" w:color="auto" w:fill="auto"/>
            <w:noWrap/>
            <w:vAlign w:val="bottom"/>
            <w:hideMark/>
          </w:tcPr>
          <w:p w:rsidR="000E19B9" w:rsidRPr="000E19B9" w:rsidRDefault="000E19B9" w:rsidP="000E19B9">
            <w:pPr>
              <w:overflowPunct/>
              <w:autoSpaceDE/>
              <w:autoSpaceDN/>
              <w:adjustRightInd/>
              <w:spacing w:before="80"/>
              <w:jc w:val="right"/>
              <w:textAlignment w:val="auto"/>
              <w:rPr>
                <w:color w:val="000000"/>
              </w:rPr>
            </w:pPr>
            <w:r w:rsidRPr="000E19B9">
              <w:rPr>
                <w:color w:val="000000"/>
              </w:rPr>
              <w:t>Std dev</w:t>
            </w:r>
          </w:p>
        </w:tc>
        <w:tc>
          <w:tcPr>
            <w:tcW w:w="0" w:type="auto"/>
            <w:tcBorders>
              <w:top w:val="single" w:sz="12" w:space="0" w:color="auto"/>
              <w:left w:val="nil"/>
              <w:bottom w:val="double" w:sz="6" w:space="0" w:color="auto"/>
              <w:right w:val="nil"/>
            </w:tcBorders>
            <w:shd w:val="clear" w:color="auto" w:fill="auto"/>
            <w:noWrap/>
            <w:vAlign w:val="bottom"/>
            <w:hideMark/>
          </w:tcPr>
          <w:p w:rsidR="000E19B9" w:rsidRPr="000E19B9" w:rsidRDefault="000E19B9" w:rsidP="000E19B9">
            <w:pPr>
              <w:overflowPunct/>
              <w:autoSpaceDE/>
              <w:autoSpaceDN/>
              <w:adjustRightInd/>
              <w:spacing w:before="80"/>
              <w:jc w:val="right"/>
              <w:textAlignment w:val="auto"/>
              <w:rPr>
                <w:color w:val="000000"/>
              </w:rPr>
            </w:pPr>
            <w:r w:rsidRPr="000E19B9">
              <w:rPr>
                <w:color w:val="000000"/>
              </w:rPr>
              <w:t>Min</w:t>
            </w:r>
          </w:p>
        </w:tc>
        <w:tc>
          <w:tcPr>
            <w:tcW w:w="0" w:type="auto"/>
            <w:tcBorders>
              <w:top w:val="single" w:sz="12" w:space="0" w:color="auto"/>
              <w:left w:val="nil"/>
              <w:bottom w:val="double" w:sz="6" w:space="0" w:color="auto"/>
              <w:right w:val="nil"/>
            </w:tcBorders>
            <w:shd w:val="clear" w:color="auto" w:fill="auto"/>
            <w:noWrap/>
            <w:vAlign w:val="bottom"/>
            <w:hideMark/>
          </w:tcPr>
          <w:p w:rsidR="000E19B9" w:rsidRPr="000E19B9" w:rsidRDefault="000E19B9" w:rsidP="000E19B9">
            <w:pPr>
              <w:overflowPunct/>
              <w:autoSpaceDE/>
              <w:autoSpaceDN/>
              <w:adjustRightInd/>
              <w:spacing w:before="80"/>
              <w:jc w:val="right"/>
              <w:textAlignment w:val="auto"/>
              <w:rPr>
                <w:color w:val="000000"/>
              </w:rPr>
            </w:pPr>
            <w:r w:rsidRPr="000E19B9">
              <w:rPr>
                <w:color w:val="000000"/>
              </w:rPr>
              <w:t>Median</w:t>
            </w:r>
          </w:p>
        </w:tc>
        <w:tc>
          <w:tcPr>
            <w:tcW w:w="0" w:type="auto"/>
            <w:tcBorders>
              <w:top w:val="single" w:sz="12" w:space="0" w:color="auto"/>
              <w:left w:val="nil"/>
              <w:bottom w:val="double" w:sz="6" w:space="0" w:color="auto"/>
              <w:right w:val="nil"/>
            </w:tcBorders>
            <w:shd w:val="clear" w:color="auto" w:fill="auto"/>
            <w:noWrap/>
            <w:vAlign w:val="bottom"/>
            <w:hideMark/>
          </w:tcPr>
          <w:p w:rsidR="000E19B9" w:rsidRPr="000E19B9" w:rsidRDefault="000E19B9" w:rsidP="000E19B9">
            <w:pPr>
              <w:overflowPunct/>
              <w:autoSpaceDE/>
              <w:autoSpaceDN/>
              <w:adjustRightInd/>
              <w:spacing w:before="80"/>
              <w:jc w:val="right"/>
              <w:textAlignment w:val="auto"/>
              <w:rPr>
                <w:color w:val="000000"/>
              </w:rPr>
            </w:pPr>
            <w:r w:rsidRPr="000E19B9">
              <w:rPr>
                <w:color w:val="000000"/>
              </w:rPr>
              <w:t>Max</w:t>
            </w:r>
          </w:p>
        </w:tc>
      </w:tr>
      <w:tr w:rsidR="000E19B9" w:rsidRPr="000E19B9" w:rsidTr="000E19B9">
        <w:trPr>
          <w:trHeight w:val="20"/>
        </w:trPr>
        <w:tc>
          <w:tcPr>
            <w:tcW w:w="0" w:type="auto"/>
            <w:tcBorders>
              <w:top w:val="nil"/>
              <w:left w:val="nil"/>
              <w:bottom w:val="nil"/>
              <w:right w:val="nil"/>
            </w:tcBorders>
            <w:shd w:val="clear" w:color="auto" w:fill="auto"/>
            <w:noWrap/>
            <w:vAlign w:val="bottom"/>
            <w:hideMark/>
          </w:tcPr>
          <w:p w:rsidR="000E19B9" w:rsidRPr="000E19B9" w:rsidRDefault="000E19B9" w:rsidP="00C902DA">
            <w:pPr>
              <w:overflowPunct/>
              <w:autoSpaceDE/>
              <w:autoSpaceDN/>
              <w:adjustRightInd/>
              <w:spacing w:before="60"/>
              <w:textAlignment w:val="auto"/>
              <w:rPr>
                <w:color w:val="000000"/>
              </w:rPr>
            </w:pPr>
            <w:r w:rsidRPr="000E19B9">
              <w:rPr>
                <w:color w:val="000000"/>
              </w:rPr>
              <w:t xml:space="preserve">Income </w:t>
            </w:r>
            <w:r>
              <w:rPr>
                <w:color w:val="000000"/>
              </w:rPr>
              <w:t>R</w:t>
            </w:r>
            <w:r w:rsidRPr="000E19B9">
              <w:rPr>
                <w:color w:val="000000"/>
              </w:rPr>
              <w:t>eturn</w:t>
            </w:r>
            <w:r>
              <w:rPr>
                <w:color w:val="000000"/>
              </w:rPr>
              <w:t>s</w:t>
            </w:r>
          </w:p>
        </w:tc>
        <w:tc>
          <w:tcPr>
            <w:tcW w:w="0" w:type="auto"/>
            <w:tcBorders>
              <w:top w:val="nil"/>
              <w:left w:val="nil"/>
              <w:bottom w:val="nil"/>
              <w:right w:val="nil"/>
            </w:tcBorders>
            <w:shd w:val="clear" w:color="auto" w:fill="auto"/>
            <w:noWrap/>
            <w:vAlign w:val="bottom"/>
            <w:hideMark/>
          </w:tcPr>
          <w:p w:rsidR="000E19B9" w:rsidRPr="000E19B9" w:rsidRDefault="000E19B9" w:rsidP="00C902DA">
            <w:pPr>
              <w:overflowPunct/>
              <w:autoSpaceDE/>
              <w:autoSpaceDN/>
              <w:adjustRightInd/>
              <w:spacing w:before="60"/>
              <w:jc w:val="right"/>
              <w:textAlignment w:val="auto"/>
              <w:rPr>
                <w:color w:val="000000"/>
              </w:rPr>
            </w:pPr>
            <w:r w:rsidRPr="000E19B9">
              <w:rPr>
                <w:color w:val="000000"/>
              </w:rPr>
              <w:t>1.8%</w:t>
            </w:r>
          </w:p>
        </w:tc>
        <w:tc>
          <w:tcPr>
            <w:tcW w:w="0" w:type="auto"/>
            <w:tcBorders>
              <w:top w:val="nil"/>
              <w:left w:val="nil"/>
              <w:bottom w:val="nil"/>
              <w:right w:val="nil"/>
            </w:tcBorders>
            <w:shd w:val="clear" w:color="auto" w:fill="auto"/>
            <w:noWrap/>
            <w:vAlign w:val="bottom"/>
            <w:hideMark/>
          </w:tcPr>
          <w:p w:rsidR="000E19B9" w:rsidRPr="000E19B9" w:rsidRDefault="000E19B9" w:rsidP="00C902DA">
            <w:pPr>
              <w:overflowPunct/>
              <w:autoSpaceDE/>
              <w:autoSpaceDN/>
              <w:adjustRightInd/>
              <w:spacing w:before="60"/>
              <w:jc w:val="right"/>
              <w:textAlignment w:val="auto"/>
              <w:rPr>
                <w:color w:val="000000"/>
              </w:rPr>
            </w:pPr>
            <w:r w:rsidRPr="000E19B9">
              <w:rPr>
                <w:color w:val="000000"/>
              </w:rPr>
              <w:t>0.3%</w:t>
            </w:r>
          </w:p>
        </w:tc>
        <w:tc>
          <w:tcPr>
            <w:tcW w:w="0" w:type="auto"/>
            <w:tcBorders>
              <w:top w:val="nil"/>
              <w:left w:val="nil"/>
              <w:bottom w:val="nil"/>
              <w:right w:val="nil"/>
            </w:tcBorders>
            <w:shd w:val="clear" w:color="auto" w:fill="auto"/>
            <w:noWrap/>
            <w:vAlign w:val="bottom"/>
            <w:hideMark/>
          </w:tcPr>
          <w:p w:rsidR="000E19B9" w:rsidRPr="000E19B9" w:rsidRDefault="000E19B9" w:rsidP="00C902DA">
            <w:pPr>
              <w:overflowPunct/>
              <w:autoSpaceDE/>
              <w:autoSpaceDN/>
              <w:adjustRightInd/>
              <w:spacing w:before="60"/>
              <w:jc w:val="right"/>
              <w:textAlignment w:val="auto"/>
              <w:rPr>
                <w:color w:val="000000"/>
              </w:rPr>
            </w:pPr>
            <w:r w:rsidRPr="000E19B9">
              <w:rPr>
                <w:color w:val="000000"/>
              </w:rPr>
              <w:t>1.2%</w:t>
            </w:r>
          </w:p>
        </w:tc>
        <w:tc>
          <w:tcPr>
            <w:tcW w:w="0" w:type="auto"/>
            <w:tcBorders>
              <w:top w:val="nil"/>
              <w:left w:val="nil"/>
              <w:bottom w:val="nil"/>
              <w:right w:val="nil"/>
            </w:tcBorders>
            <w:shd w:val="clear" w:color="auto" w:fill="auto"/>
            <w:noWrap/>
            <w:vAlign w:val="bottom"/>
            <w:hideMark/>
          </w:tcPr>
          <w:p w:rsidR="000E19B9" w:rsidRPr="000E19B9" w:rsidRDefault="000E19B9" w:rsidP="00C902DA">
            <w:pPr>
              <w:overflowPunct/>
              <w:autoSpaceDE/>
              <w:autoSpaceDN/>
              <w:adjustRightInd/>
              <w:spacing w:before="60"/>
              <w:jc w:val="right"/>
              <w:textAlignment w:val="auto"/>
              <w:rPr>
                <w:color w:val="000000"/>
              </w:rPr>
            </w:pPr>
            <w:r w:rsidRPr="000E19B9">
              <w:rPr>
                <w:color w:val="000000"/>
              </w:rPr>
              <w:t>1.8%</w:t>
            </w:r>
          </w:p>
        </w:tc>
        <w:tc>
          <w:tcPr>
            <w:tcW w:w="0" w:type="auto"/>
            <w:tcBorders>
              <w:top w:val="nil"/>
              <w:left w:val="nil"/>
              <w:bottom w:val="nil"/>
              <w:right w:val="nil"/>
            </w:tcBorders>
            <w:shd w:val="clear" w:color="auto" w:fill="auto"/>
            <w:noWrap/>
            <w:vAlign w:val="bottom"/>
            <w:hideMark/>
          </w:tcPr>
          <w:p w:rsidR="000E19B9" w:rsidRPr="000E19B9" w:rsidRDefault="000E19B9" w:rsidP="00C902DA">
            <w:pPr>
              <w:overflowPunct/>
              <w:autoSpaceDE/>
              <w:autoSpaceDN/>
              <w:adjustRightInd/>
              <w:spacing w:before="60"/>
              <w:jc w:val="right"/>
              <w:textAlignment w:val="auto"/>
              <w:rPr>
                <w:color w:val="000000"/>
              </w:rPr>
            </w:pPr>
            <w:r w:rsidRPr="000E19B9">
              <w:rPr>
                <w:color w:val="000000"/>
              </w:rPr>
              <w:t>2.2%</w:t>
            </w:r>
          </w:p>
        </w:tc>
      </w:tr>
      <w:tr w:rsidR="000E19B9" w:rsidRPr="000E19B9" w:rsidTr="000E19B9">
        <w:trPr>
          <w:trHeight w:val="20"/>
        </w:trPr>
        <w:tc>
          <w:tcPr>
            <w:tcW w:w="0" w:type="auto"/>
            <w:tcBorders>
              <w:top w:val="nil"/>
              <w:left w:val="nil"/>
              <w:bottom w:val="nil"/>
              <w:right w:val="nil"/>
            </w:tcBorders>
            <w:shd w:val="clear" w:color="auto" w:fill="auto"/>
            <w:noWrap/>
            <w:vAlign w:val="bottom"/>
            <w:hideMark/>
          </w:tcPr>
          <w:p w:rsidR="000E19B9" w:rsidRPr="000E19B9" w:rsidRDefault="000E19B9" w:rsidP="000E19B9">
            <w:pPr>
              <w:overflowPunct/>
              <w:autoSpaceDE/>
              <w:autoSpaceDN/>
              <w:adjustRightInd/>
              <w:textAlignment w:val="auto"/>
              <w:rPr>
                <w:color w:val="000000"/>
              </w:rPr>
            </w:pPr>
            <w:r w:rsidRPr="000E19B9">
              <w:rPr>
                <w:color w:val="000000"/>
              </w:rPr>
              <w:t xml:space="preserve">Capital </w:t>
            </w:r>
            <w:r>
              <w:rPr>
                <w:color w:val="000000"/>
              </w:rPr>
              <w:t>G</w:t>
            </w:r>
            <w:r w:rsidRPr="000E19B9">
              <w:rPr>
                <w:color w:val="000000"/>
              </w:rPr>
              <w:t>ains</w:t>
            </w:r>
          </w:p>
        </w:tc>
        <w:tc>
          <w:tcPr>
            <w:tcW w:w="0" w:type="auto"/>
            <w:tcBorders>
              <w:top w:val="nil"/>
              <w:left w:val="nil"/>
              <w:bottom w:val="nil"/>
              <w:right w:val="nil"/>
            </w:tcBorders>
            <w:shd w:val="clear" w:color="auto" w:fill="auto"/>
            <w:noWrap/>
            <w:vAlign w:val="bottom"/>
            <w:hideMark/>
          </w:tcPr>
          <w:p w:rsidR="000E19B9" w:rsidRPr="000E19B9" w:rsidRDefault="000E19B9" w:rsidP="000E19B9">
            <w:pPr>
              <w:overflowPunct/>
              <w:autoSpaceDE/>
              <w:autoSpaceDN/>
              <w:adjustRightInd/>
              <w:jc w:val="right"/>
              <w:textAlignment w:val="auto"/>
              <w:rPr>
                <w:color w:val="000000"/>
              </w:rPr>
            </w:pPr>
            <w:r w:rsidRPr="000E19B9">
              <w:rPr>
                <w:color w:val="000000"/>
              </w:rPr>
              <w:t>0.1%</w:t>
            </w:r>
          </w:p>
        </w:tc>
        <w:tc>
          <w:tcPr>
            <w:tcW w:w="0" w:type="auto"/>
            <w:tcBorders>
              <w:top w:val="nil"/>
              <w:left w:val="nil"/>
              <w:bottom w:val="nil"/>
              <w:right w:val="nil"/>
            </w:tcBorders>
            <w:shd w:val="clear" w:color="auto" w:fill="auto"/>
            <w:noWrap/>
            <w:vAlign w:val="bottom"/>
            <w:hideMark/>
          </w:tcPr>
          <w:p w:rsidR="000E19B9" w:rsidRPr="000E19B9" w:rsidRDefault="000E19B9" w:rsidP="000E19B9">
            <w:pPr>
              <w:overflowPunct/>
              <w:autoSpaceDE/>
              <w:autoSpaceDN/>
              <w:adjustRightInd/>
              <w:jc w:val="right"/>
              <w:textAlignment w:val="auto"/>
              <w:rPr>
                <w:color w:val="000000"/>
              </w:rPr>
            </w:pPr>
            <w:r w:rsidRPr="000E19B9">
              <w:rPr>
                <w:color w:val="000000"/>
              </w:rPr>
              <w:t>2.4%</w:t>
            </w:r>
          </w:p>
        </w:tc>
        <w:tc>
          <w:tcPr>
            <w:tcW w:w="0" w:type="auto"/>
            <w:tcBorders>
              <w:top w:val="nil"/>
              <w:left w:val="nil"/>
              <w:bottom w:val="nil"/>
              <w:right w:val="nil"/>
            </w:tcBorders>
            <w:shd w:val="clear" w:color="auto" w:fill="auto"/>
            <w:noWrap/>
            <w:vAlign w:val="bottom"/>
            <w:hideMark/>
          </w:tcPr>
          <w:p w:rsidR="000E19B9" w:rsidRPr="000E19B9" w:rsidRDefault="000E19B9" w:rsidP="000E19B9">
            <w:pPr>
              <w:overflowPunct/>
              <w:autoSpaceDE/>
              <w:autoSpaceDN/>
              <w:adjustRightInd/>
              <w:jc w:val="right"/>
              <w:textAlignment w:val="auto"/>
              <w:rPr>
                <w:color w:val="000000"/>
              </w:rPr>
            </w:pPr>
            <w:r w:rsidRPr="000E19B9">
              <w:rPr>
                <w:color w:val="000000"/>
              </w:rPr>
              <w:t>-9.7%</w:t>
            </w:r>
          </w:p>
        </w:tc>
        <w:tc>
          <w:tcPr>
            <w:tcW w:w="0" w:type="auto"/>
            <w:tcBorders>
              <w:top w:val="nil"/>
              <w:left w:val="nil"/>
              <w:bottom w:val="nil"/>
              <w:right w:val="nil"/>
            </w:tcBorders>
            <w:shd w:val="clear" w:color="auto" w:fill="auto"/>
            <w:noWrap/>
            <w:vAlign w:val="bottom"/>
            <w:hideMark/>
          </w:tcPr>
          <w:p w:rsidR="000E19B9" w:rsidRPr="000E19B9" w:rsidRDefault="000E19B9" w:rsidP="000E19B9">
            <w:pPr>
              <w:overflowPunct/>
              <w:autoSpaceDE/>
              <w:autoSpaceDN/>
              <w:adjustRightInd/>
              <w:jc w:val="right"/>
              <w:textAlignment w:val="auto"/>
              <w:rPr>
                <w:color w:val="000000"/>
              </w:rPr>
            </w:pPr>
            <w:r w:rsidRPr="000E19B9">
              <w:rPr>
                <w:color w:val="000000"/>
              </w:rPr>
              <w:t>0.5%</w:t>
            </w:r>
          </w:p>
        </w:tc>
        <w:tc>
          <w:tcPr>
            <w:tcW w:w="0" w:type="auto"/>
            <w:tcBorders>
              <w:top w:val="nil"/>
              <w:left w:val="nil"/>
              <w:bottom w:val="nil"/>
              <w:right w:val="nil"/>
            </w:tcBorders>
            <w:shd w:val="clear" w:color="auto" w:fill="auto"/>
            <w:noWrap/>
            <w:vAlign w:val="bottom"/>
            <w:hideMark/>
          </w:tcPr>
          <w:p w:rsidR="000E19B9" w:rsidRPr="000E19B9" w:rsidRDefault="000E19B9" w:rsidP="000E19B9">
            <w:pPr>
              <w:overflowPunct/>
              <w:autoSpaceDE/>
              <w:autoSpaceDN/>
              <w:adjustRightInd/>
              <w:jc w:val="right"/>
              <w:textAlignment w:val="auto"/>
              <w:rPr>
                <w:color w:val="000000"/>
              </w:rPr>
            </w:pPr>
            <w:r w:rsidRPr="000E19B9">
              <w:rPr>
                <w:color w:val="000000"/>
              </w:rPr>
              <w:t>3.9%</w:t>
            </w:r>
          </w:p>
        </w:tc>
      </w:tr>
      <w:tr w:rsidR="000E19B9" w:rsidRPr="000E19B9" w:rsidTr="000E19B9">
        <w:trPr>
          <w:trHeight w:val="20"/>
        </w:trPr>
        <w:tc>
          <w:tcPr>
            <w:tcW w:w="0" w:type="auto"/>
            <w:tcBorders>
              <w:top w:val="nil"/>
              <w:left w:val="nil"/>
              <w:bottom w:val="nil"/>
              <w:right w:val="nil"/>
            </w:tcBorders>
            <w:shd w:val="clear" w:color="auto" w:fill="auto"/>
            <w:noWrap/>
            <w:vAlign w:val="bottom"/>
            <w:hideMark/>
          </w:tcPr>
          <w:p w:rsidR="000E19B9" w:rsidRPr="000E19B9" w:rsidRDefault="000E19B9" w:rsidP="000E19B9">
            <w:pPr>
              <w:overflowPunct/>
              <w:autoSpaceDE/>
              <w:autoSpaceDN/>
              <w:adjustRightInd/>
              <w:textAlignment w:val="auto"/>
              <w:rPr>
                <w:color w:val="000000"/>
              </w:rPr>
            </w:pPr>
            <w:r w:rsidRPr="000E19B9">
              <w:rPr>
                <w:color w:val="000000"/>
              </w:rPr>
              <w:t>Volume</w:t>
            </w:r>
          </w:p>
        </w:tc>
        <w:tc>
          <w:tcPr>
            <w:tcW w:w="0" w:type="auto"/>
            <w:tcBorders>
              <w:top w:val="nil"/>
              <w:left w:val="nil"/>
              <w:bottom w:val="nil"/>
              <w:right w:val="nil"/>
            </w:tcBorders>
            <w:shd w:val="clear" w:color="auto" w:fill="auto"/>
            <w:noWrap/>
            <w:vAlign w:val="bottom"/>
            <w:hideMark/>
          </w:tcPr>
          <w:p w:rsidR="000E19B9" w:rsidRPr="000E19B9" w:rsidRDefault="000E19B9" w:rsidP="000E19B9">
            <w:pPr>
              <w:overflowPunct/>
              <w:autoSpaceDE/>
              <w:autoSpaceDN/>
              <w:adjustRightInd/>
              <w:jc w:val="right"/>
              <w:textAlignment w:val="auto"/>
              <w:rPr>
                <w:color w:val="000000"/>
              </w:rPr>
            </w:pPr>
            <w:r w:rsidRPr="000E19B9">
              <w:rPr>
                <w:color w:val="000000"/>
              </w:rPr>
              <w:t>2.1%</w:t>
            </w:r>
          </w:p>
        </w:tc>
        <w:tc>
          <w:tcPr>
            <w:tcW w:w="0" w:type="auto"/>
            <w:tcBorders>
              <w:top w:val="nil"/>
              <w:left w:val="nil"/>
              <w:bottom w:val="nil"/>
              <w:right w:val="nil"/>
            </w:tcBorders>
            <w:shd w:val="clear" w:color="auto" w:fill="auto"/>
            <w:noWrap/>
            <w:vAlign w:val="bottom"/>
            <w:hideMark/>
          </w:tcPr>
          <w:p w:rsidR="000E19B9" w:rsidRPr="000E19B9" w:rsidRDefault="000E19B9" w:rsidP="000E19B9">
            <w:pPr>
              <w:overflowPunct/>
              <w:autoSpaceDE/>
              <w:autoSpaceDN/>
              <w:adjustRightInd/>
              <w:jc w:val="right"/>
              <w:textAlignment w:val="auto"/>
              <w:rPr>
                <w:color w:val="000000"/>
              </w:rPr>
            </w:pPr>
            <w:r w:rsidRPr="000E19B9">
              <w:rPr>
                <w:color w:val="000000"/>
              </w:rPr>
              <w:t>1.2%</w:t>
            </w:r>
          </w:p>
        </w:tc>
        <w:tc>
          <w:tcPr>
            <w:tcW w:w="0" w:type="auto"/>
            <w:tcBorders>
              <w:top w:val="nil"/>
              <w:left w:val="nil"/>
              <w:bottom w:val="nil"/>
              <w:right w:val="nil"/>
            </w:tcBorders>
            <w:shd w:val="clear" w:color="auto" w:fill="auto"/>
            <w:noWrap/>
            <w:vAlign w:val="bottom"/>
            <w:hideMark/>
          </w:tcPr>
          <w:p w:rsidR="000E19B9" w:rsidRPr="000E19B9" w:rsidRDefault="000E19B9" w:rsidP="000E19B9">
            <w:pPr>
              <w:overflowPunct/>
              <w:autoSpaceDE/>
              <w:autoSpaceDN/>
              <w:adjustRightInd/>
              <w:jc w:val="right"/>
              <w:textAlignment w:val="auto"/>
              <w:rPr>
                <w:color w:val="000000"/>
              </w:rPr>
            </w:pPr>
            <w:r w:rsidRPr="000E19B9">
              <w:rPr>
                <w:color w:val="000000"/>
              </w:rPr>
              <w:t>0.3%</w:t>
            </w:r>
          </w:p>
        </w:tc>
        <w:tc>
          <w:tcPr>
            <w:tcW w:w="0" w:type="auto"/>
            <w:tcBorders>
              <w:top w:val="nil"/>
              <w:left w:val="nil"/>
              <w:bottom w:val="nil"/>
              <w:right w:val="nil"/>
            </w:tcBorders>
            <w:shd w:val="clear" w:color="auto" w:fill="auto"/>
            <w:noWrap/>
            <w:vAlign w:val="bottom"/>
            <w:hideMark/>
          </w:tcPr>
          <w:p w:rsidR="000E19B9" w:rsidRPr="000E19B9" w:rsidRDefault="000E19B9" w:rsidP="000E19B9">
            <w:pPr>
              <w:overflowPunct/>
              <w:autoSpaceDE/>
              <w:autoSpaceDN/>
              <w:adjustRightInd/>
              <w:jc w:val="right"/>
              <w:textAlignment w:val="auto"/>
              <w:rPr>
                <w:color w:val="000000"/>
              </w:rPr>
            </w:pPr>
            <w:r w:rsidRPr="000E19B9">
              <w:rPr>
                <w:color w:val="000000"/>
              </w:rPr>
              <w:t>1.9%</w:t>
            </w:r>
          </w:p>
        </w:tc>
        <w:tc>
          <w:tcPr>
            <w:tcW w:w="0" w:type="auto"/>
            <w:tcBorders>
              <w:top w:val="nil"/>
              <w:left w:val="nil"/>
              <w:bottom w:val="nil"/>
              <w:right w:val="nil"/>
            </w:tcBorders>
            <w:shd w:val="clear" w:color="auto" w:fill="auto"/>
            <w:noWrap/>
            <w:vAlign w:val="bottom"/>
            <w:hideMark/>
          </w:tcPr>
          <w:p w:rsidR="000E19B9" w:rsidRPr="000E19B9" w:rsidRDefault="000E19B9" w:rsidP="000E19B9">
            <w:pPr>
              <w:overflowPunct/>
              <w:autoSpaceDE/>
              <w:autoSpaceDN/>
              <w:adjustRightInd/>
              <w:jc w:val="right"/>
              <w:textAlignment w:val="auto"/>
              <w:rPr>
                <w:color w:val="000000"/>
              </w:rPr>
            </w:pPr>
            <w:r w:rsidRPr="000E19B9">
              <w:rPr>
                <w:color w:val="000000"/>
              </w:rPr>
              <w:t>5.7%</w:t>
            </w:r>
          </w:p>
        </w:tc>
      </w:tr>
      <w:tr w:rsidR="000E19B9" w:rsidRPr="000E19B9" w:rsidTr="000E19B9">
        <w:trPr>
          <w:trHeight w:val="20"/>
        </w:trPr>
        <w:tc>
          <w:tcPr>
            <w:tcW w:w="0" w:type="auto"/>
            <w:tcBorders>
              <w:top w:val="nil"/>
              <w:left w:val="nil"/>
              <w:bottom w:val="nil"/>
              <w:right w:val="nil"/>
            </w:tcBorders>
            <w:shd w:val="clear" w:color="auto" w:fill="auto"/>
            <w:noWrap/>
            <w:vAlign w:val="bottom"/>
            <w:hideMark/>
          </w:tcPr>
          <w:p w:rsidR="000E19B9" w:rsidRPr="000E19B9" w:rsidRDefault="000E19B9" w:rsidP="000E19B9">
            <w:pPr>
              <w:overflowPunct/>
              <w:autoSpaceDE/>
              <w:autoSpaceDN/>
              <w:adjustRightInd/>
              <w:textAlignment w:val="auto"/>
              <w:rPr>
                <w:color w:val="000000"/>
              </w:rPr>
            </w:pPr>
            <w:r w:rsidRPr="000E19B9">
              <w:rPr>
                <w:color w:val="000000"/>
              </w:rPr>
              <w:t xml:space="preserve">CRE </w:t>
            </w:r>
            <w:r>
              <w:rPr>
                <w:color w:val="000000"/>
              </w:rPr>
              <w:t>T</w:t>
            </w:r>
            <w:r w:rsidRPr="000E19B9">
              <w:rPr>
                <w:color w:val="000000"/>
              </w:rPr>
              <w:t>ightening</w:t>
            </w:r>
          </w:p>
        </w:tc>
        <w:tc>
          <w:tcPr>
            <w:tcW w:w="0" w:type="auto"/>
            <w:tcBorders>
              <w:top w:val="nil"/>
              <w:left w:val="nil"/>
              <w:bottom w:val="nil"/>
              <w:right w:val="nil"/>
            </w:tcBorders>
            <w:shd w:val="clear" w:color="auto" w:fill="auto"/>
            <w:noWrap/>
            <w:vAlign w:val="bottom"/>
            <w:hideMark/>
          </w:tcPr>
          <w:p w:rsidR="000E19B9" w:rsidRPr="000E19B9" w:rsidRDefault="000E19B9" w:rsidP="000E19B9">
            <w:pPr>
              <w:overflowPunct/>
              <w:autoSpaceDE/>
              <w:autoSpaceDN/>
              <w:adjustRightInd/>
              <w:jc w:val="right"/>
              <w:textAlignment w:val="auto"/>
              <w:rPr>
                <w:color w:val="000000"/>
              </w:rPr>
            </w:pPr>
            <w:r w:rsidRPr="000E19B9">
              <w:rPr>
                <w:color w:val="000000"/>
              </w:rPr>
              <w:t>13.7%</w:t>
            </w:r>
          </w:p>
        </w:tc>
        <w:tc>
          <w:tcPr>
            <w:tcW w:w="0" w:type="auto"/>
            <w:tcBorders>
              <w:top w:val="nil"/>
              <w:left w:val="nil"/>
              <w:bottom w:val="nil"/>
              <w:right w:val="nil"/>
            </w:tcBorders>
            <w:shd w:val="clear" w:color="auto" w:fill="auto"/>
            <w:noWrap/>
            <w:vAlign w:val="bottom"/>
            <w:hideMark/>
          </w:tcPr>
          <w:p w:rsidR="000E19B9" w:rsidRPr="000E19B9" w:rsidRDefault="000E19B9" w:rsidP="000E19B9">
            <w:pPr>
              <w:overflowPunct/>
              <w:autoSpaceDE/>
              <w:autoSpaceDN/>
              <w:adjustRightInd/>
              <w:jc w:val="right"/>
              <w:textAlignment w:val="auto"/>
              <w:rPr>
                <w:color w:val="000000"/>
              </w:rPr>
            </w:pPr>
            <w:r w:rsidRPr="000E19B9">
              <w:rPr>
                <w:color w:val="000000"/>
              </w:rPr>
              <w:t>25.9%</w:t>
            </w:r>
          </w:p>
        </w:tc>
        <w:tc>
          <w:tcPr>
            <w:tcW w:w="0" w:type="auto"/>
            <w:tcBorders>
              <w:top w:val="nil"/>
              <w:left w:val="nil"/>
              <w:bottom w:val="nil"/>
              <w:right w:val="nil"/>
            </w:tcBorders>
            <w:shd w:val="clear" w:color="auto" w:fill="auto"/>
            <w:noWrap/>
            <w:vAlign w:val="bottom"/>
            <w:hideMark/>
          </w:tcPr>
          <w:p w:rsidR="000E19B9" w:rsidRPr="000E19B9" w:rsidRDefault="000E19B9" w:rsidP="000E19B9">
            <w:pPr>
              <w:overflowPunct/>
              <w:autoSpaceDE/>
              <w:autoSpaceDN/>
              <w:adjustRightInd/>
              <w:jc w:val="right"/>
              <w:textAlignment w:val="auto"/>
              <w:rPr>
                <w:color w:val="000000"/>
              </w:rPr>
            </w:pPr>
            <w:r w:rsidRPr="000E19B9">
              <w:rPr>
                <w:color w:val="000000"/>
              </w:rPr>
              <w:t>-23.7%</w:t>
            </w:r>
          </w:p>
        </w:tc>
        <w:tc>
          <w:tcPr>
            <w:tcW w:w="0" w:type="auto"/>
            <w:tcBorders>
              <w:top w:val="nil"/>
              <w:left w:val="nil"/>
              <w:bottom w:val="nil"/>
              <w:right w:val="nil"/>
            </w:tcBorders>
            <w:shd w:val="clear" w:color="auto" w:fill="auto"/>
            <w:noWrap/>
            <w:vAlign w:val="bottom"/>
            <w:hideMark/>
          </w:tcPr>
          <w:p w:rsidR="000E19B9" w:rsidRPr="000E19B9" w:rsidRDefault="000E19B9" w:rsidP="000E19B9">
            <w:pPr>
              <w:overflowPunct/>
              <w:autoSpaceDE/>
              <w:autoSpaceDN/>
              <w:adjustRightInd/>
              <w:jc w:val="right"/>
              <w:textAlignment w:val="auto"/>
              <w:rPr>
                <w:color w:val="000000"/>
              </w:rPr>
            </w:pPr>
            <w:r w:rsidRPr="000E19B9">
              <w:rPr>
                <w:color w:val="000000"/>
              </w:rPr>
              <w:t>5.2%</w:t>
            </w:r>
          </w:p>
        </w:tc>
        <w:tc>
          <w:tcPr>
            <w:tcW w:w="0" w:type="auto"/>
            <w:tcBorders>
              <w:top w:val="nil"/>
              <w:left w:val="nil"/>
              <w:bottom w:val="nil"/>
              <w:right w:val="nil"/>
            </w:tcBorders>
            <w:shd w:val="clear" w:color="auto" w:fill="auto"/>
            <w:noWrap/>
            <w:vAlign w:val="bottom"/>
            <w:hideMark/>
          </w:tcPr>
          <w:p w:rsidR="000E19B9" w:rsidRPr="000E19B9" w:rsidRDefault="000E19B9" w:rsidP="000E19B9">
            <w:pPr>
              <w:overflowPunct/>
              <w:autoSpaceDE/>
              <w:autoSpaceDN/>
              <w:adjustRightInd/>
              <w:jc w:val="right"/>
              <w:textAlignment w:val="auto"/>
              <w:rPr>
                <w:color w:val="000000"/>
              </w:rPr>
            </w:pPr>
            <w:r w:rsidRPr="000E19B9">
              <w:rPr>
                <w:color w:val="000000"/>
              </w:rPr>
              <w:t>87.0%</w:t>
            </w:r>
          </w:p>
        </w:tc>
      </w:tr>
      <w:tr w:rsidR="000E19B9" w:rsidRPr="000E19B9" w:rsidTr="000E19B9">
        <w:trPr>
          <w:trHeight w:val="20"/>
        </w:trPr>
        <w:tc>
          <w:tcPr>
            <w:tcW w:w="0" w:type="auto"/>
            <w:tcBorders>
              <w:top w:val="nil"/>
              <w:left w:val="nil"/>
              <w:bottom w:val="nil"/>
              <w:right w:val="nil"/>
            </w:tcBorders>
            <w:shd w:val="clear" w:color="auto" w:fill="auto"/>
            <w:noWrap/>
            <w:vAlign w:val="bottom"/>
            <w:hideMark/>
          </w:tcPr>
          <w:p w:rsidR="000E19B9" w:rsidRPr="000E19B9" w:rsidRDefault="000E19B9" w:rsidP="000E19B9">
            <w:pPr>
              <w:overflowPunct/>
              <w:autoSpaceDE/>
              <w:autoSpaceDN/>
              <w:adjustRightInd/>
              <w:textAlignment w:val="auto"/>
              <w:rPr>
                <w:color w:val="000000"/>
              </w:rPr>
            </w:pPr>
            <w:r w:rsidRPr="000E19B9">
              <w:rPr>
                <w:color w:val="000000"/>
              </w:rPr>
              <w:t xml:space="preserve">Relative </w:t>
            </w:r>
            <w:r>
              <w:rPr>
                <w:color w:val="000000"/>
              </w:rPr>
              <w:t>T</w:t>
            </w:r>
            <w:r w:rsidRPr="000E19B9">
              <w:rPr>
                <w:color w:val="000000"/>
              </w:rPr>
              <w:t>ightening</w:t>
            </w:r>
          </w:p>
        </w:tc>
        <w:tc>
          <w:tcPr>
            <w:tcW w:w="0" w:type="auto"/>
            <w:tcBorders>
              <w:top w:val="nil"/>
              <w:left w:val="nil"/>
              <w:bottom w:val="nil"/>
              <w:right w:val="nil"/>
            </w:tcBorders>
            <w:shd w:val="clear" w:color="auto" w:fill="auto"/>
            <w:noWrap/>
            <w:vAlign w:val="bottom"/>
            <w:hideMark/>
          </w:tcPr>
          <w:p w:rsidR="000E19B9" w:rsidRPr="000E19B9" w:rsidRDefault="000E19B9" w:rsidP="000E19B9">
            <w:pPr>
              <w:overflowPunct/>
              <w:autoSpaceDE/>
              <w:autoSpaceDN/>
              <w:adjustRightInd/>
              <w:jc w:val="right"/>
              <w:textAlignment w:val="auto"/>
              <w:rPr>
                <w:color w:val="000000"/>
              </w:rPr>
            </w:pPr>
            <w:r w:rsidRPr="000E19B9">
              <w:rPr>
                <w:color w:val="000000"/>
              </w:rPr>
              <w:t>7.7%</w:t>
            </w:r>
          </w:p>
        </w:tc>
        <w:tc>
          <w:tcPr>
            <w:tcW w:w="0" w:type="auto"/>
            <w:tcBorders>
              <w:top w:val="nil"/>
              <w:left w:val="nil"/>
              <w:bottom w:val="nil"/>
              <w:right w:val="nil"/>
            </w:tcBorders>
            <w:shd w:val="clear" w:color="auto" w:fill="auto"/>
            <w:noWrap/>
            <w:vAlign w:val="bottom"/>
            <w:hideMark/>
          </w:tcPr>
          <w:p w:rsidR="000E19B9" w:rsidRPr="000E19B9" w:rsidRDefault="000E19B9" w:rsidP="000E19B9">
            <w:pPr>
              <w:overflowPunct/>
              <w:autoSpaceDE/>
              <w:autoSpaceDN/>
              <w:adjustRightInd/>
              <w:jc w:val="right"/>
              <w:textAlignment w:val="auto"/>
              <w:rPr>
                <w:color w:val="000000"/>
              </w:rPr>
            </w:pPr>
            <w:r w:rsidRPr="000E19B9">
              <w:rPr>
                <w:color w:val="000000"/>
              </w:rPr>
              <w:t>11.2%</w:t>
            </w:r>
          </w:p>
        </w:tc>
        <w:tc>
          <w:tcPr>
            <w:tcW w:w="0" w:type="auto"/>
            <w:tcBorders>
              <w:top w:val="nil"/>
              <w:left w:val="nil"/>
              <w:bottom w:val="nil"/>
              <w:right w:val="nil"/>
            </w:tcBorders>
            <w:shd w:val="clear" w:color="auto" w:fill="auto"/>
            <w:noWrap/>
            <w:vAlign w:val="bottom"/>
            <w:hideMark/>
          </w:tcPr>
          <w:p w:rsidR="000E19B9" w:rsidRPr="000E19B9" w:rsidRDefault="000E19B9" w:rsidP="000E19B9">
            <w:pPr>
              <w:overflowPunct/>
              <w:autoSpaceDE/>
              <w:autoSpaceDN/>
              <w:adjustRightInd/>
              <w:jc w:val="right"/>
              <w:textAlignment w:val="auto"/>
              <w:rPr>
                <w:color w:val="000000"/>
              </w:rPr>
            </w:pPr>
            <w:r w:rsidRPr="000E19B9">
              <w:rPr>
                <w:color w:val="000000"/>
              </w:rPr>
              <w:t>-17.5%</w:t>
            </w:r>
          </w:p>
        </w:tc>
        <w:tc>
          <w:tcPr>
            <w:tcW w:w="0" w:type="auto"/>
            <w:tcBorders>
              <w:top w:val="nil"/>
              <w:left w:val="nil"/>
              <w:bottom w:val="nil"/>
              <w:right w:val="nil"/>
            </w:tcBorders>
            <w:shd w:val="clear" w:color="auto" w:fill="auto"/>
            <w:noWrap/>
            <w:vAlign w:val="bottom"/>
            <w:hideMark/>
          </w:tcPr>
          <w:p w:rsidR="000E19B9" w:rsidRPr="000E19B9" w:rsidRDefault="000E19B9" w:rsidP="000E19B9">
            <w:pPr>
              <w:overflowPunct/>
              <w:autoSpaceDE/>
              <w:autoSpaceDN/>
              <w:adjustRightInd/>
              <w:jc w:val="right"/>
              <w:textAlignment w:val="auto"/>
              <w:rPr>
                <w:color w:val="000000"/>
              </w:rPr>
            </w:pPr>
            <w:r w:rsidRPr="000E19B9">
              <w:rPr>
                <w:color w:val="000000"/>
              </w:rPr>
              <w:t>6.1%</w:t>
            </w:r>
          </w:p>
        </w:tc>
        <w:tc>
          <w:tcPr>
            <w:tcW w:w="0" w:type="auto"/>
            <w:tcBorders>
              <w:top w:val="nil"/>
              <w:left w:val="nil"/>
              <w:bottom w:val="nil"/>
              <w:right w:val="nil"/>
            </w:tcBorders>
            <w:shd w:val="clear" w:color="auto" w:fill="auto"/>
            <w:noWrap/>
            <w:vAlign w:val="bottom"/>
            <w:hideMark/>
          </w:tcPr>
          <w:p w:rsidR="000E19B9" w:rsidRPr="000E19B9" w:rsidRDefault="000E19B9" w:rsidP="000E19B9">
            <w:pPr>
              <w:overflowPunct/>
              <w:autoSpaceDE/>
              <w:autoSpaceDN/>
              <w:adjustRightInd/>
              <w:jc w:val="right"/>
              <w:textAlignment w:val="auto"/>
              <w:rPr>
                <w:color w:val="000000"/>
              </w:rPr>
            </w:pPr>
            <w:r w:rsidRPr="000E19B9">
              <w:rPr>
                <w:color w:val="000000"/>
              </w:rPr>
              <w:t>48.1%</w:t>
            </w:r>
          </w:p>
        </w:tc>
      </w:tr>
      <w:tr w:rsidR="000E19B9" w:rsidRPr="000E19B9" w:rsidTr="000E19B9">
        <w:trPr>
          <w:trHeight w:val="20"/>
        </w:trPr>
        <w:tc>
          <w:tcPr>
            <w:tcW w:w="0" w:type="auto"/>
            <w:tcBorders>
              <w:top w:val="nil"/>
              <w:left w:val="nil"/>
              <w:bottom w:val="nil"/>
              <w:right w:val="nil"/>
            </w:tcBorders>
            <w:shd w:val="clear" w:color="auto" w:fill="auto"/>
            <w:noWrap/>
            <w:vAlign w:val="bottom"/>
            <w:hideMark/>
          </w:tcPr>
          <w:p w:rsidR="000E19B9" w:rsidRPr="000E19B9" w:rsidRDefault="000E19B9" w:rsidP="000E19B9">
            <w:pPr>
              <w:overflowPunct/>
              <w:autoSpaceDE/>
              <w:autoSpaceDN/>
              <w:adjustRightInd/>
              <w:textAlignment w:val="auto"/>
              <w:rPr>
                <w:color w:val="000000"/>
              </w:rPr>
            </w:pPr>
            <w:r w:rsidRPr="000E19B9">
              <w:rPr>
                <w:color w:val="000000"/>
              </w:rPr>
              <w:t xml:space="preserve">CRE </w:t>
            </w:r>
            <w:r>
              <w:rPr>
                <w:color w:val="000000"/>
              </w:rPr>
              <w:t>M</w:t>
            </w:r>
            <w:r w:rsidRPr="000E19B9">
              <w:rPr>
                <w:color w:val="000000"/>
              </w:rPr>
              <w:t xml:space="preserve">tg </w:t>
            </w:r>
            <w:r>
              <w:rPr>
                <w:color w:val="000000"/>
              </w:rPr>
              <w:t>F</w:t>
            </w:r>
            <w:r w:rsidRPr="000E19B9">
              <w:rPr>
                <w:color w:val="000000"/>
              </w:rPr>
              <w:t>lows</w:t>
            </w:r>
          </w:p>
        </w:tc>
        <w:tc>
          <w:tcPr>
            <w:tcW w:w="0" w:type="auto"/>
            <w:tcBorders>
              <w:top w:val="nil"/>
              <w:left w:val="nil"/>
              <w:bottom w:val="nil"/>
              <w:right w:val="nil"/>
            </w:tcBorders>
            <w:shd w:val="clear" w:color="auto" w:fill="auto"/>
            <w:noWrap/>
            <w:vAlign w:val="bottom"/>
            <w:hideMark/>
          </w:tcPr>
          <w:p w:rsidR="000E19B9" w:rsidRPr="000E19B9" w:rsidRDefault="000E19B9" w:rsidP="000E19B9">
            <w:pPr>
              <w:overflowPunct/>
              <w:autoSpaceDE/>
              <w:autoSpaceDN/>
              <w:adjustRightInd/>
              <w:jc w:val="right"/>
              <w:textAlignment w:val="auto"/>
              <w:rPr>
                <w:color w:val="000000"/>
              </w:rPr>
            </w:pPr>
            <w:r w:rsidRPr="000E19B9">
              <w:rPr>
                <w:color w:val="000000"/>
              </w:rPr>
              <w:t>1.1%</w:t>
            </w:r>
          </w:p>
        </w:tc>
        <w:tc>
          <w:tcPr>
            <w:tcW w:w="0" w:type="auto"/>
            <w:tcBorders>
              <w:top w:val="nil"/>
              <w:left w:val="nil"/>
              <w:bottom w:val="nil"/>
              <w:right w:val="nil"/>
            </w:tcBorders>
            <w:shd w:val="clear" w:color="auto" w:fill="auto"/>
            <w:noWrap/>
            <w:vAlign w:val="bottom"/>
            <w:hideMark/>
          </w:tcPr>
          <w:p w:rsidR="000E19B9" w:rsidRPr="000E19B9" w:rsidRDefault="000E19B9" w:rsidP="000E19B9">
            <w:pPr>
              <w:overflowPunct/>
              <w:autoSpaceDE/>
              <w:autoSpaceDN/>
              <w:adjustRightInd/>
              <w:jc w:val="right"/>
              <w:textAlignment w:val="auto"/>
              <w:rPr>
                <w:color w:val="000000"/>
              </w:rPr>
            </w:pPr>
            <w:r w:rsidRPr="000E19B9">
              <w:rPr>
                <w:color w:val="000000"/>
              </w:rPr>
              <w:t>1.8%</w:t>
            </w:r>
          </w:p>
        </w:tc>
        <w:tc>
          <w:tcPr>
            <w:tcW w:w="0" w:type="auto"/>
            <w:tcBorders>
              <w:top w:val="nil"/>
              <w:left w:val="nil"/>
              <w:bottom w:val="nil"/>
              <w:right w:val="nil"/>
            </w:tcBorders>
            <w:shd w:val="clear" w:color="auto" w:fill="auto"/>
            <w:noWrap/>
            <w:vAlign w:val="bottom"/>
            <w:hideMark/>
          </w:tcPr>
          <w:p w:rsidR="000E19B9" w:rsidRPr="000E19B9" w:rsidRDefault="000E19B9" w:rsidP="000E19B9">
            <w:pPr>
              <w:overflowPunct/>
              <w:autoSpaceDE/>
              <w:autoSpaceDN/>
              <w:adjustRightInd/>
              <w:jc w:val="right"/>
              <w:textAlignment w:val="auto"/>
              <w:rPr>
                <w:color w:val="000000"/>
              </w:rPr>
            </w:pPr>
            <w:r w:rsidRPr="000E19B9">
              <w:rPr>
                <w:color w:val="000000"/>
              </w:rPr>
              <w:t>-2.3%</w:t>
            </w:r>
          </w:p>
        </w:tc>
        <w:tc>
          <w:tcPr>
            <w:tcW w:w="0" w:type="auto"/>
            <w:tcBorders>
              <w:top w:val="nil"/>
              <w:left w:val="nil"/>
              <w:bottom w:val="nil"/>
              <w:right w:val="nil"/>
            </w:tcBorders>
            <w:shd w:val="clear" w:color="auto" w:fill="auto"/>
            <w:noWrap/>
            <w:vAlign w:val="bottom"/>
            <w:hideMark/>
          </w:tcPr>
          <w:p w:rsidR="000E19B9" w:rsidRPr="000E19B9" w:rsidRDefault="000E19B9" w:rsidP="000E19B9">
            <w:pPr>
              <w:overflowPunct/>
              <w:autoSpaceDE/>
              <w:autoSpaceDN/>
              <w:adjustRightInd/>
              <w:jc w:val="right"/>
              <w:textAlignment w:val="auto"/>
              <w:rPr>
                <w:color w:val="000000"/>
              </w:rPr>
            </w:pPr>
            <w:r w:rsidRPr="000E19B9">
              <w:rPr>
                <w:color w:val="000000"/>
              </w:rPr>
              <w:t>1.3%</w:t>
            </w:r>
          </w:p>
        </w:tc>
        <w:tc>
          <w:tcPr>
            <w:tcW w:w="0" w:type="auto"/>
            <w:tcBorders>
              <w:top w:val="nil"/>
              <w:left w:val="nil"/>
              <w:bottom w:val="nil"/>
              <w:right w:val="nil"/>
            </w:tcBorders>
            <w:shd w:val="clear" w:color="auto" w:fill="auto"/>
            <w:noWrap/>
            <w:vAlign w:val="bottom"/>
            <w:hideMark/>
          </w:tcPr>
          <w:p w:rsidR="000E19B9" w:rsidRPr="000E19B9" w:rsidRDefault="000E19B9" w:rsidP="000E19B9">
            <w:pPr>
              <w:overflowPunct/>
              <w:autoSpaceDE/>
              <w:autoSpaceDN/>
              <w:adjustRightInd/>
              <w:jc w:val="right"/>
              <w:textAlignment w:val="auto"/>
              <w:rPr>
                <w:color w:val="000000"/>
              </w:rPr>
            </w:pPr>
            <w:r w:rsidRPr="000E19B9">
              <w:rPr>
                <w:color w:val="000000"/>
              </w:rPr>
              <w:t>6.0%</w:t>
            </w:r>
          </w:p>
        </w:tc>
      </w:tr>
      <w:tr w:rsidR="000E19B9" w:rsidRPr="000E19B9" w:rsidTr="000E19B9">
        <w:trPr>
          <w:trHeight w:val="20"/>
        </w:trPr>
        <w:tc>
          <w:tcPr>
            <w:tcW w:w="0" w:type="auto"/>
            <w:tcBorders>
              <w:top w:val="nil"/>
              <w:left w:val="nil"/>
              <w:bottom w:val="nil"/>
              <w:right w:val="nil"/>
            </w:tcBorders>
            <w:shd w:val="clear" w:color="auto" w:fill="auto"/>
            <w:noWrap/>
            <w:vAlign w:val="bottom"/>
            <w:hideMark/>
          </w:tcPr>
          <w:p w:rsidR="000E19B9" w:rsidRPr="000E19B9" w:rsidRDefault="000E19B9" w:rsidP="000E19B9">
            <w:pPr>
              <w:overflowPunct/>
              <w:autoSpaceDE/>
              <w:autoSpaceDN/>
              <w:adjustRightInd/>
              <w:textAlignment w:val="auto"/>
              <w:rPr>
                <w:color w:val="000000"/>
              </w:rPr>
            </w:pPr>
            <w:r w:rsidRPr="000E19B9">
              <w:rPr>
                <w:color w:val="000000"/>
              </w:rPr>
              <w:t xml:space="preserve">CRE </w:t>
            </w:r>
            <w:r>
              <w:rPr>
                <w:color w:val="000000"/>
              </w:rPr>
              <w:t>D</w:t>
            </w:r>
            <w:r w:rsidRPr="000E19B9">
              <w:rPr>
                <w:color w:val="000000"/>
              </w:rPr>
              <w:t>ebt</w:t>
            </w:r>
          </w:p>
        </w:tc>
        <w:tc>
          <w:tcPr>
            <w:tcW w:w="0" w:type="auto"/>
            <w:tcBorders>
              <w:top w:val="nil"/>
              <w:left w:val="nil"/>
              <w:bottom w:val="nil"/>
              <w:right w:val="nil"/>
            </w:tcBorders>
            <w:shd w:val="clear" w:color="auto" w:fill="auto"/>
            <w:noWrap/>
            <w:vAlign w:val="bottom"/>
            <w:hideMark/>
          </w:tcPr>
          <w:p w:rsidR="000E19B9" w:rsidRPr="000E19B9" w:rsidRDefault="000E19B9" w:rsidP="000E19B9">
            <w:pPr>
              <w:overflowPunct/>
              <w:autoSpaceDE/>
              <w:autoSpaceDN/>
              <w:adjustRightInd/>
              <w:jc w:val="right"/>
              <w:textAlignment w:val="auto"/>
              <w:rPr>
                <w:color w:val="000000"/>
              </w:rPr>
            </w:pPr>
            <w:r w:rsidRPr="000E19B9">
              <w:rPr>
                <w:color w:val="000000"/>
              </w:rPr>
              <w:t>12.7%</w:t>
            </w:r>
          </w:p>
        </w:tc>
        <w:tc>
          <w:tcPr>
            <w:tcW w:w="0" w:type="auto"/>
            <w:tcBorders>
              <w:top w:val="nil"/>
              <w:left w:val="nil"/>
              <w:bottom w:val="nil"/>
              <w:right w:val="nil"/>
            </w:tcBorders>
            <w:shd w:val="clear" w:color="auto" w:fill="auto"/>
            <w:noWrap/>
            <w:vAlign w:val="bottom"/>
            <w:hideMark/>
          </w:tcPr>
          <w:p w:rsidR="000E19B9" w:rsidRPr="000E19B9" w:rsidRDefault="000E19B9" w:rsidP="000E19B9">
            <w:pPr>
              <w:overflowPunct/>
              <w:autoSpaceDE/>
              <w:autoSpaceDN/>
              <w:adjustRightInd/>
              <w:jc w:val="right"/>
              <w:textAlignment w:val="auto"/>
              <w:rPr>
                <w:color w:val="000000"/>
              </w:rPr>
            </w:pPr>
            <w:r w:rsidRPr="000E19B9">
              <w:rPr>
                <w:color w:val="000000"/>
              </w:rPr>
              <w:t>2.5%</w:t>
            </w:r>
          </w:p>
        </w:tc>
        <w:tc>
          <w:tcPr>
            <w:tcW w:w="0" w:type="auto"/>
            <w:tcBorders>
              <w:top w:val="nil"/>
              <w:left w:val="nil"/>
              <w:bottom w:val="nil"/>
              <w:right w:val="nil"/>
            </w:tcBorders>
            <w:shd w:val="clear" w:color="auto" w:fill="auto"/>
            <w:noWrap/>
            <w:vAlign w:val="bottom"/>
            <w:hideMark/>
          </w:tcPr>
          <w:p w:rsidR="000E19B9" w:rsidRPr="000E19B9" w:rsidRDefault="000E19B9" w:rsidP="000E19B9">
            <w:pPr>
              <w:overflowPunct/>
              <w:autoSpaceDE/>
              <w:autoSpaceDN/>
              <w:adjustRightInd/>
              <w:jc w:val="right"/>
              <w:textAlignment w:val="auto"/>
              <w:rPr>
                <w:color w:val="000000"/>
              </w:rPr>
            </w:pPr>
            <w:r w:rsidRPr="000E19B9">
              <w:rPr>
                <w:color w:val="000000"/>
              </w:rPr>
              <w:t>9.2%</w:t>
            </w:r>
          </w:p>
        </w:tc>
        <w:tc>
          <w:tcPr>
            <w:tcW w:w="0" w:type="auto"/>
            <w:tcBorders>
              <w:top w:val="nil"/>
              <w:left w:val="nil"/>
              <w:bottom w:val="nil"/>
              <w:right w:val="nil"/>
            </w:tcBorders>
            <w:shd w:val="clear" w:color="auto" w:fill="auto"/>
            <w:noWrap/>
            <w:vAlign w:val="bottom"/>
            <w:hideMark/>
          </w:tcPr>
          <w:p w:rsidR="000E19B9" w:rsidRPr="000E19B9" w:rsidRDefault="000E19B9" w:rsidP="000E19B9">
            <w:pPr>
              <w:overflowPunct/>
              <w:autoSpaceDE/>
              <w:autoSpaceDN/>
              <w:adjustRightInd/>
              <w:jc w:val="right"/>
              <w:textAlignment w:val="auto"/>
              <w:rPr>
                <w:color w:val="000000"/>
              </w:rPr>
            </w:pPr>
            <w:r w:rsidRPr="000E19B9">
              <w:rPr>
                <w:color w:val="000000"/>
              </w:rPr>
              <w:t>12.7%</w:t>
            </w:r>
          </w:p>
        </w:tc>
        <w:tc>
          <w:tcPr>
            <w:tcW w:w="0" w:type="auto"/>
            <w:tcBorders>
              <w:top w:val="nil"/>
              <w:left w:val="nil"/>
              <w:bottom w:val="nil"/>
              <w:right w:val="nil"/>
            </w:tcBorders>
            <w:shd w:val="clear" w:color="auto" w:fill="auto"/>
            <w:noWrap/>
            <w:vAlign w:val="bottom"/>
            <w:hideMark/>
          </w:tcPr>
          <w:p w:rsidR="000E19B9" w:rsidRPr="000E19B9" w:rsidRDefault="000E19B9" w:rsidP="000E19B9">
            <w:pPr>
              <w:overflowPunct/>
              <w:autoSpaceDE/>
              <w:autoSpaceDN/>
              <w:adjustRightInd/>
              <w:jc w:val="right"/>
              <w:textAlignment w:val="auto"/>
              <w:rPr>
                <w:color w:val="000000"/>
              </w:rPr>
            </w:pPr>
            <w:r w:rsidRPr="000E19B9">
              <w:rPr>
                <w:color w:val="000000"/>
              </w:rPr>
              <w:t>17.9%</w:t>
            </w:r>
          </w:p>
        </w:tc>
      </w:tr>
      <w:tr w:rsidR="000E19B9" w:rsidRPr="000E19B9" w:rsidTr="000E19B9">
        <w:trPr>
          <w:trHeight w:val="20"/>
        </w:trPr>
        <w:tc>
          <w:tcPr>
            <w:tcW w:w="0" w:type="auto"/>
            <w:tcBorders>
              <w:top w:val="nil"/>
              <w:left w:val="nil"/>
              <w:bottom w:val="nil"/>
              <w:right w:val="nil"/>
            </w:tcBorders>
            <w:shd w:val="clear" w:color="auto" w:fill="auto"/>
            <w:noWrap/>
            <w:vAlign w:val="bottom"/>
            <w:hideMark/>
          </w:tcPr>
          <w:p w:rsidR="000E19B9" w:rsidRPr="000E19B9" w:rsidRDefault="000E19B9" w:rsidP="000E19B9">
            <w:pPr>
              <w:overflowPunct/>
              <w:autoSpaceDE/>
              <w:autoSpaceDN/>
              <w:adjustRightInd/>
              <w:textAlignment w:val="auto"/>
              <w:rPr>
                <w:color w:val="000000"/>
              </w:rPr>
            </w:pPr>
            <w:r w:rsidRPr="000E19B9">
              <w:rPr>
                <w:color w:val="000000"/>
              </w:rPr>
              <w:t xml:space="preserve">CRE </w:t>
            </w:r>
            <w:r>
              <w:rPr>
                <w:color w:val="000000"/>
              </w:rPr>
              <w:t>S</w:t>
            </w:r>
            <w:r w:rsidRPr="000E19B9">
              <w:rPr>
                <w:color w:val="000000"/>
              </w:rPr>
              <w:t>pread</w:t>
            </w:r>
          </w:p>
        </w:tc>
        <w:tc>
          <w:tcPr>
            <w:tcW w:w="0" w:type="auto"/>
            <w:tcBorders>
              <w:top w:val="nil"/>
              <w:left w:val="nil"/>
              <w:bottom w:val="nil"/>
              <w:right w:val="nil"/>
            </w:tcBorders>
            <w:shd w:val="clear" w:color="auto" w:fill="auto"/>
            <w:noWrap/>
            <w:vAlign w:val="bottom"/>
            <w:hideMark/>
          </w:tcPr>
          <w:p w:rsidR="000E19B9" w:rsidRPr="000E19B9" w:rsidRDefault="000E19B9" w:rsidP="000E19B9">
            <w:pPr>
              <w:overflowPunct/>
              <w:autoSpaceDE/>
              <w:autoSpaceDN/>
              <w:adjustRightInd/>
              <w:jc w:val="right"/>
              <w:textAlignment w:val="auto"/>
              <w:rPr>
                <w:color w:val="000000"/>
              </w:rPr>
            </w:pPr>
            <w:r w:rsidRPr="000E19B9">
              <w:rPr>
                <w:color w:val="000000"/>
              </w:rPr>
              <w:t>3.0%</w:t>
            </w:r>
          </w:p>
        </w:tc>
        <w:tc>
          <w:tcPr>
            <w:tcW w:w="0" w:type="auto"/>
            <w:tcBorders>
              <w:top w:val="nil"/>
              <w:left w:val="nil"/>
              <w:bottom w:val="nil"/>
              <w:right w:val="nil"/>
            </w:tcBorders>
            <w:shd w:val="clear" w:color="auto" w:fill="auto"/>
            <w:noWrap/>
            <w:vAlign w:val="bottom"/>
            <w:hideMark/>
          </w:tcPr>
          <w:p w:rsidR="000E19B9" w:rsidRPr="000E19B9" w:rsidRDefault="000E19B9" w:rsidP="000E19B9">
            <w:pPr>
              <w:overflowPunct/>
              <w:autoSpaceDE/>
              <w:autoSpaceDN/>
              <w:adjustRightInd/>
              <w:jc w:val="right"/>
              <w:textAlignment w:val="auto"/>
              <w:rPr>
                <w:color w:val="000000"/>
              </w:rPr>
            </w:pPr>
            <w:r w:rsidRPr="000E19B9">
              <w:rPr>
                <w:color w:val="000000"/>
              </w:rPr>
              <w:t>1.2%</w:t>
            </w:r>
          </w:p>
        </w:tc>
        <w:tc>
          <w:tcPr>
            <w:tcW w:w="0" w:type="auto"/>
            <w:tcBorders>
              <w:top w:val="nil"/>
              <w:left w:val="nil"/>
              <w:bottom w:val="nil"/>
              <w:right w:val="nil"/>
            </w:tcBorders>
            <w:shd w:val="clear" w:color="auto" w:fill="auto"/>
            <w:noWrap/>
            <w:vAlign w:val="bottom"/>
            <w:hideMark/>
          </w:tcPr>
          <w:p w:rsidR="000E19B9" w:rsidRPr="000E19B9" w:rsidRDefault="000E19B9" w:rsidP="000E19B9">
            <w:pPr>
              <w:overflowPunct/>
              <w:autoSpaceDE/>
              <w:autoSpaceDN/>
              <w:adjustRightInd/>
              <w:jc w:val="right"/>
              <w:textAlignment w:val="auto"/>
              <w:rPr>
                <w:color w:val="000000"/>
              </w:rPr>
            </w:pPr>
            <w:r w:rsidRPr="000E19B9">
              <w:rPr>
                <w:color w:val="000000"/>
              </w:rPr>
              <w:t>-0.1%</w:t>
            </w:r>
          </w:p>
        </w:tc>
        <w:tc>
          <w:tcPr>
            <w:tcW w:w="0" w:type="auto"/>
            <w:tcBorders>
              <w:top w:val="nil"/>
              <w:left w:val="nil"/>
              <w:bottom w:val="nil"/>
              <w:right w:val="nil"/>
            </w:tcBorders>
            <w:shd w:val="clear" w:color="auto" w:fill="auto"/>
            <w:noWrap/>
            <w:vAlign w:val="bottom"/>
            <w:hideMark/>
          </w:tcPr>
          <w:p w:rsidR="000E19B9" w:rsidRPr="000E19B9" w:rsidRDefault="000E19B9" w:rsidP="000E19B9">
            <w:pPr>
              <w:overflowPunct/>
              <w:autoSpaceDE/>
              <w:autoSpaceDN/>
              <w:adjustRightInd/>
              <w:jc w:val="right"/>
              <w:textAlignment w:val="auto"/>
              <w:rPr>
                <w:color w:val="000000"/>
              </w:rPr>
            </w:pPr>
            <w:r w:rsidRPr="000E19B9">
              <w:rPr>
                <w:color w:val="000000"/>
              </w:rPr>
              <w:t>3.1%</w:t>
            </w:r>
          </w:p>
        </w:tc>
        <w:tc>
          <w:tcPr>
            <w:tcW w:w="0" w:type="auto"/>
            <w:tcBorders>
              <w:top w:val="nil"/>
              <w:left w:val="nil"/>
              <w:bottom w:val="nil"/>
              <w:right w:val="nil"/>
            </w:tcBorders>
            <w:shd w:val="clear" w:color="auto" w:fill="auto"/>
            <w:noWrap/>
            <w:vAlign w:val="bottom"/>
            <w:hideMark/>
          </w:tcPr>
          <w:p w:rsidR="000E19B9" w:rsidRPr="000E19B9" w:rsidRDefault="000E19B9" w:rsidP="000E19B9">
            <w:pPr>
              <w:overflowPunct/>
              <w:autoSpaceDE/>
              <w:autoSpaceDN/>
              <w:adjustRightInd/>
              <w:jc w:val="right"/>
              <w:textAlignment w:val="auto"/>
              <w:rPr>
                <w:color w:val="000000"/>
              </w:rPr>
            </w:pPr>
            <w:r w:rsidRPr="000E19B9">
              <w:rPr>
                <w:color w:val="000000"/>
              </w:rPr>
              <w:t>5.0%</w:t>
            </w:r>
          </w:p>
        </w:tc>
      </w:tr>
      <w:tr w:rsidR="000E19B9" w:rsidRPr="000E19B9" w:rsidTr="000E19B9">
        <w:trPr>
          <w:trHeight w:val="20"/>
        </w:trPr>
        <w:tc>
          <w:tcPr>
            <w:tcW w:w="0" w:type="auto"/>
            <w:tcBorders>
              <w:top w:val="nil"/>
              <w:left w:val="nil"/>
              <w:bottom w:val="nil"/>
              <w:right w:val="nil"/>
            </w:tcBorders>
            <w:shd w:val="clear" w:color="auto" w:fill="auto"/>
            <w:noWrap/>
            <w:vAlign w:val="bottom"/>
            <w:hideMark/>
          </w:tcPr>
          <w:p w:rsidR="000E19B9" w:rsidRPr="000E19B9" w:rsidRDefault="000E19B9" w:rsidP="000E19B9">
            <w:pPr>
              <w:overflowPunct/>
              <w:autoSpaceDE/>
              <w:autoSpaceDN/>
              <w:adjustRightInd/>
              <w:textAlignment w:val="auto"/>
              <w:rPr>
                <w:color w:val="000000"/>
              </w:rPr>
            </w:pPr>
            <w:r w:rsidRPr="000E19B9">
              <w:rPr>
                <w:color w:val="000000"/>
              </w:rPr>
              <w:t>R</w:t>
            </w:r>
            <w:r w:rsidRPr="000E19B9">
              <w:rPr>
                <w:color w:val="000000"/>
                <w:vertAlign w:val="subscript"/>
              </w:rPr>
              <w:t>F</w:t>
            </w:r>
          </w:p>
        </w:tc>
        <w:tc>
          <w:tcPr>
            <w:tcW w:w="0" w:type="auto"/>
            <w:tcBorders>
              <w:top w:val="nil"/>
              <w:left w:val="nil"/>
              <w:bottom w:val="nil"/>
              <w:right w:val="nil"/>
            </w:tcBorders>
            <w:shd w:val="clear" w:color="auto" w:fill="auto"/>
            <w:noWrap/>
            <w:vAlign w:val="bottom"/>
            <w:hideMark/>
          </w:tcPr>
          <w:p w:rsidR="000E19B9" w:rsidRPr="000E19B9" w:rsidRDefault="000E19B9" w:rsidP="000E19B9">
            <w:pPr>
              <w:overflowPunct/>
              <w:autoSpaceDE/>
              <w:autoSpaceDN/>
              <w:adjustRightInd/>
              <w:jc w:val="right"/>
              <w:textAlignment w:val="auto"/>
              <w:rPr>
                <w:color w:val="000000"/>
              </w:rPr>
            </w:pPr>
            <w:r w:rsidRPr="000E19B9">
              <w:rPr>
                <w:color w:val="000000"/>
              </w:rPr>
              <w:t>0.2%</w:t>
            </w:r>
          </w:p>
        </w:tc>
        <w:tc>
          <w:tcPr>
            <w:tcW w:w="0" w:type="auto"/>
            <w:tcBorders>
              <w:top w:val="nil"/>
              <w:left w:val="nil"/>
              <w:bottom w:val="nil"/>
              <w:right w:val="nil"/>
            </w:tcBorders>
            <w:shd w:val="clear" w:color="auto" w:fill="auto"/>
            <w:noWrap/>
            <w:vAlign w:val="bottom"/>
            <w:hideMark/>
          </w:tcPr>
          <w:p w:rsidR="000E19B9" w:rsidRPr="000E19B9" w:rsidRDefault="000E19B9" w:rsidP="000E19B9">
            <w:pPr>
              <w:overflowPunct/>
              <w:autoSpaceDE/>
              <w:autoSpaceDN/>
              <w:adjustRightInd/>
              <w:jc w:val="right"/>
              <w:textAlignment w:val="auto"/>
              <w:rPr>
                <w:color w:val="000000"/>
              </w:rPr>
            </w:pPr>
            <w:r w:rsidRPr="000E19B9">
              <w:rPr>
                <w:color w:val="000000"/>
              </w:rPr>
              <w:t>0.2%</w:t>
            </w:r>
          </w:p>
        </w:tc>
        <w:tc>
          <w:tcPr>
            <w:tcW w:w="0" w:type="auto"/>
            <w:tcBorders>
              <w:top w:val="nil"/>
              <w:left w:val="nil"/>
              <w:bottom w:val="nil"/>
              <w:right w:val="nil"/>
            </w:tcBorders>
            <w:shd w:val="clear" w:color="auto" w:fill="auto"/>
            <w:noWrap/>
            <w:vAlign w:val="bottom"/>
            <w:hideMark/>
          </w:tcPr>
          <w:p w:rsidR="000E19B9" w:rsidRPr="000E19B9" w:rsidRDefault="000E19B9" w:rsidP="000E19B9">
            <w:pPr>
              <w:overflowPunct/>
              <w:autoSpaceDE/>
              <w:autoSpaceDN/>
              <w:adjustRightInd/>
              <w:jc w:val="right"/>
              <w:textAlignment w:val="auto"/>
              <w:rPr>
                <w:color w:val="000000"/>
              </w:rPr>
            </w:pPr>
            <w:r w:rsidRPr="000E19B9">
              <w:rPr>
                <w:color w:val="000000"/>
              </w:rPr>
              <w:t>0.0%</w:t>
            </w:r>
          </w:p>
        </w:tc>
        <w:tc>
          <w:tcPr>
            <w:tcW w:w="0" w:type="auto"/>
            <w:tcBorders>
              <w:top w:val="nil"/>
              <w:left w:val="nil"/>
              <w:bottom w:val="nil"/>
              <w:right w:val="nil"/>
            </w:tcBorders>
            <w:shd w:val="clear" w:color="auto" w:fill="auto"/>
            <w:noWrap/>
            <w:vAlign w:val="bottom"/>
            <w:hideMark/>
          </w:tcPr>
          <w:p w:rsidR="000E19B9" w:rsidRPr="000E19B9" w:rsidRDefault="000E19B9" w:rsidP="000E19B9">
            <w:pPr>
              <w:overflowPunct/>
              <w:autoSpaceDE/>
              <w:autoSpaceDN/>
              <w:adjustRightInd/>
              <w:jc w:val="right"/>
              <w:textAlignment w:val="auto"/>
              <w:rPr>
                <w:color w:val="000000"/>
              </w:rPr>
            </w:pPr>
            <w:r w:rsidRPr="000E19B9">
              <w:rPr>
                <w:color w:val="000000"/>
              </w:rPr>
              <w:t>0.3%</w:t>
            </w:r>
          </w:p>
        </w:tc>
        <w:tc>
          <w:tcPr>
            <w:tcW w:w="0" w:type="auto"/>
            <w:tcBorders>
              <w:top w:val="nil"/>
              <w:left w:val="nil"/>
              <w:bottom w:val="nil"/>
              <w:right w:val="nil"/>
            </w:tcBorders>
            <w:shd w:val="clear" w:color="auto" w:fill="auto"/>
            <w:noWrap/>
            <w:vAlign w:val="bottom"/>
            <w:hideMark/>
          </w:tcPr>
          <w:p w:rsidR="000E19B9" w:rsidRPr="000E19B9" w:rsidRDefault="000E19B9" w:rsidP="000E19B9">
            <w:pPr>
              <w:overflowPunct/>
              <w:autoSpaceDE/>
              <w:autoSpaceDN/>
              <w:adjustRightInd/>
              <w:jc w:val="right"/>
              <w:textAlignment w:val="auto"/>
              <w:rPr>
                <w:color w:val="000000"/>
              </w:rPr>
            </w:pPr>
            <w:r w:rsidRPr="000E19B9">
              <w:rPr>
                <w:color w:val="000000"/>
              </w:rPr>
              <w:t>0.6%</w:t>
            </w:r>
          </w:p>
        </w:tc>
      </w:tr>
      <w:tr w:rsidR="000E19B9" w:rsidRPr="000E19B9" w:rsidTr="000E19B9">
        <w:trPr>
          <w:trHeight w:val="20"/>
        </w:trPr>
        <w:tc>
          <w:tcPr>
            <w:tcW w:w="0" w:type="auto"/>
            <w:tcBorders>
              <w:top w:val="nil"/>
              <w:left w:val="nil"/>
              <w:bottom w:val="nil"/>
              <w:right w:val="nil"/>
            </w:tcBorders>
            <w:shd w:val="clear" w:color="auto" w:fill="auto"/>
            <w:noWrap/>
            <w:vAlign w:val="bottom"/>
            <w:hideMark/>
          </w:tcPr>
          <w:p w:rsidR="000E19B9" w:rsidRPr="000E19B9" w:rsidRDefault="000E19B9" w:rsidP="000E19B9">
            <w:pPr>
              <w:overflowPunct/>
              <w:autoSpaceDE/>
              <w:autoSpaceDN/>
              <w:adjustRightInd/>
              <w:textAlignment w:val="auto"/>
              <w:rPr>
                <w:color w:val="000000"/>
              </w:rPr>
            </w:pPr>
            <w:r w:rsidRPr="000E19B9">
              <w:rPr>
                <w:color w:val="000000"/>
              </w:rPr>
              <w:t>(R</w:t>
            </w:r>
            <w:r w:rsidRPr="000E19B9">
              <w:rPr>
                <w:color w:val="000000"/>
                <w:vertAlign w:val="subscript"/>
              </w:rPr>
              <w:t>M</w:t>
            </w:r>
            <w:r w:rsidRPr="000E19B9">
              <w:rPr>
                <w:color w:val="000000"/>
              </w:rPr>
              <w:t xml:space="preserve"> </w:t>
            </w:r>
            <w:r w:rsidR="004527CE">
              <w:t>–</w:t>
            </w:r>
            <w:r w:rsidRPr="000E19B9">
              <w:rPr>
                <w:color w:val="000000"/>
              </w:rPr>
              <w:t xml:space="preserve"> R</w:t>
            </w:r>
            <w:r w:rsidRPr="000E19B9">
              <w:rPr>
                <w:color w:val="000000"/>
                <w:vertAlign w:val="subscript"/>
              </w:rPr>
              <w:t>F</w:t>
            </w:r>
            <w:r w:rsidRPr="000E19B9">
              <w:rPr>
                <w:color w:val="000000"/>
              </w:rPr>
              <w:t>)</w:t>
            </w:r>
          </w:p>
        </w:tc>
        <w:tc>
          <w:tcPr>
            <w:tcW w:w="0" w:type="auto"/>
            <w:tcBorders>
              <w:top w:val="nil"/>
              <w:left w:val="nil"/>
              <w:bottom w:val="nil"/>
              <w:right w:val="nil"/>
            </w:tcBorders>
            <w:shd w:val="clear" w:color="auto" w:fill="auto"/>
            <w:noWrap/>
            <w:vAlign w:val="bottom"/>
            <w:hideMark/>
          </w:tcPr>
          <w:p w:rsidR="000E19B9" w:rsidRPr="000E19B9" w:rsidRDefault="000E19B9" w:rsidP="000E19B9">
            <w:pPr>
              <w:overflowPunct/>
              <w:autoSpaceDE/>
              <w:autoSpaceDN/>
              <w:adjustRightInd/>
              <w:jc w:val="right"/>
              <w:textAlignment w:val="auto"/>
              <w:rPr>
                <w:color w:val="000000"/>
              </w:rPr>
            </w:pPr>
            <w:r w:rsidRPr="000E19B9">
              <w:rPr>
                <w:color w:val="000000"/>
              </w:rPr>
              <w:t>0.6%</w:t>
            </w:r>
          </w:p>
        </w:tc>
        <w:tc>
          <w:tcPr>
            <w:tcW w:w="0" w:type="auto"/>
            <w:tcBorders>
              <w:top w:val="nil"/>
              <w:left w:val="nil"/>
              <w:bottom w:val="nil"/>
              <w:right w:val="nil"/>
            </w:tcBorders>
            <w:shd w:val="clear" w:color="auto" w:fill="auto"/>
            <w:noWrap/>
            <w:vAlign w:val="bottom"/>
            <w:hideMark/>
          </w:tcPr>
          <w:p w:rsidR="000E19B9" w:rsidRPr="000E19B9" w:rsidRDefault="000E19B9" w:rsidP="000E19B9">
            <w:pPr>
              <w:overflowPunct/>
              <w:autoSpaceDE/>
              <w:autoSpaceDN/>
              <w:adjustRightInd/>
              <w:jc w:val="right"/>
              <w:textAlignment w:val="auto"/>
              <w:rPr>
                <w:color w:val="000000"/>
              </w:rPr>
            </w:pPr>
            <w:r w:rsidRPr="000E19B9">
              <w:rPr>
                <w:color w:val="000000"/>
              </w:rPr>
              <w:t>2.8%</w:t>
            </w:r>
          </w:p>
        </w:tc>
        <w:tc>
          <w:tcPr>
            <w:tcW w:w="0" w:type="auto"/>
            <w:tcBorders>
              <w:top w:val="nil"/>
              <w:left w:val="nil"/>
              <w:bottom w:val="nil"/>
              <w:right w:val="nil"/>
            </w:tcBorders>
            <w:shd w:val="clear" w:color="auto" w:fill="auto"/>
            <w:noWrap/>
            <w:vAlign w:val="bottom"/>
            <w:hideMark/>
          </w:tcPr>
          <w:p w:rsidR="000E19B9" w:rsidRPr="000E19B9" w:rsidRDefault="000E19B9" w:rsidP="000E19B9">
            <w:pPr>
              <w:overflowPunct/>
              <w:autoSpaceDE/>
              <w:autoSpaceDN/>
              <w:adjustRightInd/>
              <w:jc w:val="right"/>
              <w:textAlignment w:val="auto"/>
              <w:rPr>
                <w:color w:val="000000"/>
              </w:rPr>
            </w:pPr>
            <w:r w:rsidRPr="000E19B9">
              <w:rPr>
                <w:color w:val="000000"/>
              </w:rPr>
              <w:t>-7.8%</w:t>
            </w:r>
          </w:p>
        </w:tc>
        <w:tc>
          <w:tcPr>
            <w:tcW w:w="0" w:type="auto"/>
            <w:tcBorders>
              <w:top w:val="nil"/>
              <w:left w:val="nil"/>
              <w:bottom w:val="nil"/>
              <w:right w:val="nil"/>
            </w:tcBorders>
            <w:shd w:val="clear" w:color="auto" w:fill="auto"/>
            <w:noWrap/>
            <w:vAlign w:val="bottom"/>
            <w:hideMark/>
          </w:tcPr>
          <w:p w:rsidR="000E19B9" w:rsidRPr="000E19B9" w:rsidRDefault="000E19B9" w:rsidP="000E19B9">
            <w:pPr>
              <w:overflowPunct/>
              <w:autoSpaceDE/>
              <w:autoSpaceDN/>
              <w:adjustRightInd/>
              <w:jc w:val="right"/>
              <w:textAlignment w:val="auto"/>
              <w:rPr>
                <w:color w:val="000000"/>
              </w:rPr>
            </w:pPr>
            <w:r w:rsidRPr="000E19B9">
              <w:rPr>
                <w:color w:val="000000"/>
              </w:rPr>
              <w:t>1.0%</w:t>
            </w:r>
          </w:p>
        </w:tc>
        <w:tc>
          <w:tcPr>
            <w:tcW w:w="0" w:type="auto"/>
            <w:tcBorders>
              <w:top w:val="nil"/>
              <w:left w:val="nil"/>
              <w:bottom w:val="nil"/>
              <w:right w:val="nil"/>
            </w:tcBorders>
            <w:shd w:val="clear" w:color="auto" w:fill="auto"/>
            <w:noWrap/>
            <w:vAlign w:val="bottom"/>
            <w:hideMark/>
          </w:tcPr>
          <w:p w:rsidR="000E19B9" w:rsidRPr="000E19B9" w:rsidRDefault="000E19B9" w:rsidP="000E19B9">
            <w:pPr>
              <w:overflowPunct/>
              <w:autoSpaceDE/>
              <w:autoSpaceDN/>
              <w:adjustRightInd/>
              <w:jc w:val="right"/>
              <w:textAlignment w:val="auto"/>
              <w:rPr>
                <w:color w:val="000000"/>
              </w:rPr>
            </w:pPr>
            <w:r w:rsidRPr="000E19B9">
              <w:rPr>
                <w:color w:val="000000"/>
              </w:rPr>
              <w:t>6.5%</w:t>
            </w:r>
          </w:p>
        </w:tc>
      </w:tr>
      <w:tr w:rsidR="000E19B9" w:rsidRPr="000E19B9" w:rsidTr="000E19B9">
        <w:trPr>
          <w:trHeight w:val="20"/>
        </w:trPr>
        <w:tc>
          <w:tcPr>
            <w:tcW w:w="0" w:type="auto"/>
            <w:tcBorders>
              <w:top w:val="nil"/>
              <w:left w:val="nil"/>
              <w:bottom w:val="nil"/>
              <w:right w:val="nil"/>
            </w:tcBorders>
            <w:shd w:val="clear" w:color="auto" w:fill="auto"/>
            <w:noWrap/>
            <w:vAlign w:val="bottom"/>
            <w:hideMark/>
          </w:tcPr>
          <w:p w:rsidR="000E19B9" w:rsidRPr="000E19B9" w:rsidRDefault="000E19B9" w:rsidP="000E19B9">
            <w:pPr>
              <w:overflowPunct/>
              <w:autoSpaceDE/>
              <w:autoSpaceDN/>
              <w:adjustRightInd/>
              <w:textAlignment w:val="auto"/>
              <w:rPr>
                <w:color w:val="000000"/>
              </w:rPr>
            </w:pPr>
            <w:r w:rsidRPr="000E19B9">
              <w:rPr>
                <w:color w:val="000000"/>
              </w:rPr>
              <w:t>HML</w:t>
            </w:r>
          </w:p>
        </w:tc>
        <w:tc>
          <w:tcPr>
            <w:tcW w:w="0" w:type="auto"/>
            <w:tcBorders>
              <w:top w:val="nil"/>
              <w:left w:val="nil"/>
              <w:bottom w:val="nil"/>
              <w:right w:val="nil"/>
            </w:tcBorders>
            <w:shd w:val="clear" w:color="auto" w:fill="auto"/>
            <w:noWrap/>
            <w:vAlign w:val="bottom"/>
            <w:hideMark/>
          </w:tcPr>
          <w:p w:rsidR="000E19B9" w:rsidRPr="000E19B9" w:rsidRDefault="000E19B9" w:rsidP="000E19B9">
            <w:pPr>
              <w:overflowPunct/>
              <w:autoSpaceDE/>
              <w:autoSpaceDN/>
              <w:adjustRightInd/>
              <w:jc w:val="right"/>
              <w:textAlignment w:val="auto"/>
              <w:rPr>
                <w:color w:val="000000"/>
              </w:rPr>
            </w:pPr>
            <w:r w:rsidRPr="000E19B9">
              <w:rPr>
                <w:color w:val="000000"/>
              </w:rPr>
              <w:t>0.3%</w:t>
            </w:r>
          </w:p>
        </w:tc>
        <w:tc>
          <w:tcPr>
            <w:tcW w:w="0" w:type="auto"/>
            <w:tcBorders>
              <w:top w:val="nil"/>
              <w:left w:val="nil"/>
              <w:bottom w:val="nil"/>
              <w:right w:val="nil"/>
            </w:tcBorders>
            <w:shd w:val="clear" w:color="auto" w:fill="auto"/>
            <w:noWrap/>
            <w:vAlign w:val="bottom"/>
            <w:hideMark/>
          </w:tcPr>
          <w:p w:rsidR="000E19B9" w:rsidRPr="000E19B9" w:rsidRDefault="000E19B9" w:rsidP="000E19B9">
            <w:pPr>
              <w:overflowPunct/>
              <w:autoSpaceDE/>
              <w:autoSpaceDN/>
              <w:adjustRightInd/>
              <w:jc w:val="right"/>
              <w:textAlignment w:val="auto"/>
              <w:rPr>
                <w:color w:val="000000"/>
              </w:rPr>
            </w:pPr>
            <w:r w:rsidRPr="000E19B9">
              <w:rPr>
                <w:color w:val="000000"/>
              </w:rPr>
              <w:t>2.1%</w:t>
            </w:r>
          </w:p>
        </w:tc>
        <w:tc>
          <w:tcPr>
            <w:tcW w:w="0" w:type="auto"/>
            <w:tcBorders>
              <w:top w:val="nil"/>
              <w:left w:val="nil"/>
              <w:bottom w:val="nil"/>
              <w:right w:val="nil"/>
            </w:tcBorders>
            <w:shd w:val="clear" w:color="auto" w:fill="auto"/>
            <w:noWrap/>
            <w:vAlign w:val="bottom"/>
            <w:hideMark/>
          </w:tcPr>
          <w:p w:rsidR="000E19B9" w:rsidRPr="000E19B9" w:rsidRDefault="000E19B9" w:rsidP="000E19B9">
            <w:pPr>
              <w:overflowPunct/>
              <w:autoSpaceDE/>
              <w:autoSpaceDN/>
              <w:adjustRightInd/>
              <w:jc w:val="right"/>
              <w:textAlignment w:val="auto"/>
              <w:rPr>
                <w:color w:val="000000"/>
              </w:rPr>
            </w:pPr>
            <w:r w:rsidRPr="000E19B9">
              <w:rPr>
                <w:color w:val="000000"/>
              </w:rPr>
              <w:t>-6.8%</w:t>
            </w:r>
          </w:p>
        </w:tc>
        <w:tc>
          <w:tcPr>
            <w:tcW w:w="0" w:type="auto"/>
            <w:tcBorders>
              <w:top w:val="nil"/>
              <w:left w:val="nil"/>
              <w:bottom w:val="nil"/>
              <w:right w:val="nil"/>
            </w:tcBorders>
            <w:shd w:val="clear" w:color="auto" w:fill="auto"/>
            <w:noWrap/>
            <w:vAlign w:val="bottom"/>
            <w:hideMark/>
          </w:tcPr>
          <w:p w:rsidR="000E19B9" w:rsidRPr="000E19B9" w:rsidRDefault="000E19B9" w:rsidP="000E19B9">
            <w:pPr>
              <w:overflowPunct/>
              <w:autoSpaceDE/>
              <w:autoSpaceDN/>
              <w:adjustRightInd/>
              <w:jc w:val="right"/>
              <w:textAlignment w:val="auto"/>
              <w:rPr>
                <w:color w:val="000000"/>
              </w:rPr>
            </w:pPr>
            <w:r w:rsidRPr="000E19B9">
              <w:rPr>
                <w:color w:val="000000"/>
              </w:rPr>
              <w:t>0.2%</w:t>
            </w:r>
          </w:p>
        </w:tc>
        <w:tc>
          <w:tcPr>
            <w:tcW w:w="0" w:type="auto"/>
            <w:tcBorders>
              <w:top w:val="nil"/>
              <w:left w:val="nil"/>
              <w:bottom w:val="nil"/>
              <w:right w:val="nil"/>
            </w:tcBorders>
            <w:shd w:val="clear" w:color="auto" w:fill="auto"/>
            <w:noWrap/>
            <w:vAlign w:val="bottom"/>
            <w:hideMark/>
          </w:tcPr>
          <w:p w:rsidR="000E19B9" w:rsidRPr="000E19B9" w:rsidRDefault="000E19B9" w:rsidP="000E19B9">
            <w:pPr>
              <w:overflowPunct/>
              <w:autoSpaceDE/>
              <w:autoSpaceDN/>
              <w:adjustRightInd/>
              <w:jc w:val="right"/>
              <w:textAlignment w:val="auto"/>
              <w:rPr>
                <w:color w:val="000000"/>
              </w:rPr>
            </w:pPr>
            <w:r w:rsidRPr="000E19B9">
              <w:rPr>
                <w:color w:val="000000"/>
              </w:rPr>
              <w:t>7.8%</w:t>
            </w:r>
          </w:p>
        </w:tc>
      </w:tr>
      <w:tr w:rsidR="000E19B9" w:rsidRPr="000E19B9" w:rsidTr="000E19B9">
        <w:trPr>
          <w:trHeight w:val="20"/>
        </w:trPr>
        <w:tc>
          <w:tcPr>
            <w:tcW w:w="0" w:type="auto"/>
            <w:tcBorders>
              <w:top w:val="nil"/>
              <w:left w:val="nil"/>
              <w:bottom w:val="nil"/>
              <w:right w:val="nil"/>
            </w:tcBorders>
            <w:shd w:val="clear" w:color="auto" w:fill="auto"/>
            <w:noWrap/>
            <w:vAlign w:val="bottom"/>
            <w:hideMark/>
          </w:tcPr>
          <w:p w:rsidR="000E19B9" w:rsidRPr="000E19B9" w:rsidRDefault="000E19B9" w:rsidP="000E19B9">
            <w:pPr>
              <w:overflowPunct/>
              <w:autoSpaceDE/>
              <w:autoSpaceDN/>
              <w:adjustRightInd/>
              <w:textAlignment w:val="auto"/>
              <w:rPr>
                <w:color w:val="000000"/>
              </w:rPr>
            </w:pPr>
            <w:r w:rsidRPr="000E19B9">
              <w:rPr>
                <w:color w:val="000000"/>
              </w:rPr>
              <w:t>SMB</w:t>
            </w:r>
          </w:p>
        </w:tc>
        <w:tc>
          <w:tcPr>
            <w:tcW w:w="0" w:type="auto"/>
            <w:tcBorders>
              <w:top w:val="nil"/>
              <w:left w:val="nil"/>
              <w:bottom w:val="nil"/>
              <w:right w:val="nil"/>
            </w:tcBorders>
            <w:shd w:val="clear" w:color="auto" w:fill="auto"/>
            <w:noWrap/>
            <w:vAlign w:val="bottom"/>
            <w:hideMark/>
          </w:tcPr>
          <w:p w:rsidR="000E19B9" w:rsidRPr="000E19B9" w:rsidRDefault="000E19B9" w:rsidP="000E19B9">
            <w:pPr>
              <w:overflowPunct/>
              <w:autoSpaceDE/>
              <w:autoSpaceDN/>
              <w:adjustRightInd/>
              <w:jc w:val="right"/>
              <w:textAlignment w:val="auto"/>
              <w:rPr>
                <w:color w:val="000000"/>
              </w:rPr>
            </w:pPr>
            <w:r w:rsidRPr="000E19B9">
              <w:rPr>
                <w:color w:val="000000"/>
              </w:rPr>
              <w:t>0.2%</w:t>
            </w:r>
          </w:p>
        </w:tc>
        <w:tc>
          <w:tcPr>
            <w:tcW w:w="0" w:type="auto"/>
            <w:tcBorders>
              <w:top w:val="nil"/>
              <w:left w:val="nil"/>
              <w:bottom w:val="nil"/>
              <w:right w:val="nil"/>
            </w:tcBorders>
            <w:shd w:val="clear" w:color="auto" w:fill="auto"/>
            <w:noWrap/>
            <w:vAlign w:val="bottom"/>
            <w:hideMark/>
          </w:tcPr>
          <w:p w:rsidR="000E19B9" w:rsidRPr="000E19B9" w:rsidRDefault="000E19B9" w:rsidP="000E19B9">
            <w:pPr>
              <w:overflowPunct/>
              <w:autoSpaceDE/>
              <w:autoSpaceDN/>
              <w:adjustRightInd/>
              <w:jc w:val="right"/>
              <w:textAlignment w:val="auto"/>
              <w:rPr>
                <w:color w:val="000000"/>
              </w:rPr>
            </w:pPr>
            <w:r w:rsidRPr="000E19B9">
              <w:rPr>
                <w:color w:val="000000"/>
              </w:rPr>
              <w:t>1.7%</w:t>
            </w:r>
          </w:p>
        </w:tc>
        <w:tc>
          <w:tcPr>
            <w:tcW w:w="0" w:type="auto"/>
            <w:tcBorders>
              <w:top w:val="nil"/>
              <w:left w:val="nil"/>
              <w:bottom w:val="nil"/>
              <w:right w:val="nil"/>
            </w:tcBorders>
            <w:shd w:val="clear" w:color="auto" w:fill="auto"/>
            <w:noWrap/>
            <w:vAlign w:val="bottom"/>
            <w:hideMark/>
          </w:tcPr>
          <w:p w:rsidR="000E19B9" w:rsidRPr="000E19B9" w:rsidRDefault="000E19B9" w:rsidP="000E19B9">
            <w:pPr>
              <w:overflowPunct/>
              <w:autoSpaceDE/>
              <w:autoSpaceDN/>
              <w:adjustRightInd/>
              <w:jc w:val="right"/>
              <w:textAlignment w:val="auto"/>
              <w:rPr>
                <w:color w:val="000000"/>
              </w:rPr>
            </w:pPr>
            <w:r w:rsidRPr="000E19B9">
              <w:rPr>
                <w:color w:val="000000"/>
              </w:rPr>
              <w:t>-3.6%</w:t>
            </w:r>
          </w:p>
        </w:tc>
        <w:tc>
          <w:tcPr>
            <w:tcW w:w="0" w:type="auto"/>
            <w:tcBorders>
              <w:top w:val="nil"/>
              <w:left w:val="nil"/>
              <w:bottom w:val="nil"/>
              <w:right w:val="nil"/>
            </w:tcBorders>
            <w:shd w:val="clear" w:color="auto" w:fill="auto"/>
            <w:noWrap/>
            <w:vAlign w:val="bottom"/>
            <w:hideMark/>
          </w:tcPr>
          <w:p w:rsidR="000E19B9" w:rsidRPr="000E19B9" w:rsidRDefault="000E19B9" w:rsidP="000E19B9">
            <w:pPr>
              <w:overflowPunct/>
              <w:autoSpaceDE/>
              <w:autoSpaceDN/>
              <w:adjustRightInd/>
              <w:jc w:val="right"/>
              <w:textAlignment w:val="auto"/>
              <w:rPr>
                <w:color w:val="000000"/>
              </w:rPr>
            </w:pPr>
            <w:r w:rsidRPr="000E19B9">
              <w:rPr>
                <w:color w:val="000000"/>
              </w:rPr>
              <w:t>0.3%</w:t>
            </w:r>
          </w:p>
        </w:tc>
        <w:tc>
          <w:tcPr>
            <w:tcW w:w="0" w:type="auto"/>
            <w:tcBorders>
              <w:top w:val="nil"/>
              <w:left w:val="nil"/>
              <w:bottom w:val="nil"/>
              <w:right w:val="nil"/>
            </w:tcBorders>
            <w:shd w:val="clear" w:color="auto" w:fill="auto"/>
            <w:noWrap/>
            <w:vAlign w:val="bottom"/>
            <w:hideMark/>
          </w:tcPr>
          <w:p w:rsidR="000E19B9" w:rsidRPr="000E19B9" w:rsidRDefault="000E19B9" w:rsidP="000E19B9">
            <w:pPr>
              <w:overflowPunct/>
              <w:autoSpaceDE/>
              <w:autoSpaceDN/>
              <w:adjustRightInd/>
              <w:jc w:val="right"/>
              <w:textAlignment w:val="auto"/>
              <w:rPr>
                <w:color w:val="000000"/>
              </w:rPr>
            </w:pPr>
            <w:r w:rsidRPr="000E19B9">
              <w:rPr>
                <w:color w:val="000000"/>
              </w:rPr>
              <w:t>4.1%</w:t>
            </w:r>
          </w:p>
        </w:tc>
      </w:tr>
      <w:tr w:rsidR="00276CAF" w:rsidRPr="000E19B9" w:rsidTr="000E19B9">
        <w:trPr>
          <w:trHeight w:val="20"/>
        </w:trPr>
        <w:tc>
          <w:tcPr>
            <w:tcW w:w="0" w:type="auto"/>
            <w:tcBorders>
              <w:top w:val="nil"/>
              <w:left w:val="nil"/>
              <w:right w:val="nil"/>
            </w:tcBorders>
            <w:shd w:val="clear" w:color="auto" w:fill="auto"/>
            <w:noWrap/>
            <w:vAlign w:val="bottom"/>
          </w:tcPr>
          <w:p w:rsidR="00276CAF" w:rsidRPr="000E19B9" w:rsidRDefault="00276CAF" w:rsidP="00532660">
            <w:pPr>
              <w:overflowPunct/>
              <w:autoSpaceDE/>
              <w:autoSpaceDN/>
              <w:adjustRightInd/>
              <w:textAlignment w:val="auto"/>
              <w:rPr>
                <w:color w:val="000000"/>
              </w:rPr>
            </w:pPr>
            <w:r w:rsidRPr="000E19B9">
              <w:rPr>
                <w:color w:val="000000"/>
              </w:rPr>
              <w:t>Baa</w:t>
            </w:r>
          </w:p>
        </w:tc>
        <w:tc>
          <w:tcPr>
            <w:tcW w:w="0" w:type="auto"/>
            <w:tcBorders>
              <w:top w:val="nil"/>
              <w:left w:val="nil"/>
              <w:right w:val="nil"/>
            </w:tcBorders>
            <w:shd w:val="clear" w:color="auto" w:fill="auto"/>
            <w:noWrap/>
            <w:vAlign w:val="bottom"/>
          </w:tcPr>
          <w:p w:rsidR="00276CAF" w:rsidRPr="000E19B9" w:rsidRDefault="00276CAF" w:rsidP="00532660">
            <w:pPr>
              <w:overflowPunct/>
              <w:autoSpaceDE/>
              <w:autoSpaceDN/>
              <w:adjustRightInd/>
              <w:jc w:val="right"/>
              <w:textAlignment w:val="auto"/>
              <w:rPr>
                <w:color w:val="000000"/>
              </w:rPr>
            </w:pPr>
            <w:r w:rsidRPr="000E19B9">
              <w:rPr>
                <w:color w:val="000000"/>
              </w:rPr>
              <w:t>7.3%</w:t>
            </w:r>
          </w:p>
        </w:tc>
        <w:tc>
          <w:tcPr>
            <w:tcW w:w="0" w:type="auto"/>
            <w:tcBorders>
              <w:top w:val="nil"/>
              <w:left w:val="nil"/>
              <w:right w:val="nil"/>
            </w:tcBorders>
            <w:shd w:val="clear" w:color="auto" w:fill="auto"/>
            <w:noWrap/>
            <w:vAlign w:val="bottom"/>
          </w:tcPr>
          <w:p w:rsidR="00276CAF" w:rsidRPr="000E19B9" w:rsidRDefault="00276CAF" w:rsidP="00532660">
            <w:pPr>
              <w:overflowPunct/>
              <w:autoSpaceDE/>
              <w:autoSpaceDN/>
              <w:adjustRightInd/>
              <w:jc w:val="right"/>
              <w:textAlignment w:val="auto"/>
              <w:rPr>
                <w:color w:val="000000"/>
              </w:rPr>
            </w:pPr>
            <w:r w:rsidRPr="000E19B9">
              <w:rPr>
                <w:color w:val="000000"/>
              </w:rPr>
              <w:t>1.4%</w:t>
            </w:r>
          </w:p>
        </w:tc>
        <w:tc>
          <w:tcPr>
            <w:tcW w:w="0" w:type="auto"/>
            <w:tcBorders>
              <w:top w:val="nil"/>
              <w:left w:val="nil"/>
              <w:right w:val="nil"/>
            </w:tcBorders>
            <w:shd w:val="clear" w:color="auto" w:fill="auto"/>
            <w:noWrap/>
            <w:vAlign w:val="bottom"/>
          </w:tcPr>
          <w:p w:rsidR="00276CAF" w:rsidRPr="000E19B9" w:rsidRDefault="00276CAF" w:rsidP="00532660">
            <w:pPr>
              <w:overflowPunct/>
              <w:autoSpaceDE/>
              <w:autoSpaceDN/>
              <w:adjustRightInd/>
              <w:jc w:val="right"/>
              <w:textAlignment w:val="auto"/>
              <w:rPr>
                <w:color w:val="000000"/>
              </w:rPr>
            </w:pPr>
            <w:r w:rsidRPr="000E19B9">
              <w:rPr>
                <w:color w:val="000000"/>
              </w:rPr>
              <w:t>4.6%</w:t>
            </w:r>
          </w:p>
        </w:tc>
        <w:tc>
          <w:tcPr>
            <w:tcW w:w="0" w:type="auto"/>
            <w:tcBorders>
              <w:top w:val="nil"/>
              <w:left w:val="nil"/>
              <w:right w:val="nil"/>
            </w:tcBorders>
            <w:shd w:val="clear" w:color="auto" w:fill="auto"/>
            <w:noWrap/>
            <w:vAlign w:val="bottom"/>
          </w:tcPr>
          <w:p w:rsidR="00276CAF" w:rsidRPr="000E19B9" w:rsidRDefault="00276CAF" w:rsidP="00532660">
            <w:pPr>
              <w:overflowPunct/>
              <w:autoSpaceDE/>
              <w:autoSpaceDN/>
              <w:adjustRightInd/>
              <w:jc w:val="right"/>
              <w:textAlignment w:val="auto"/>
              <w:rPr>
                <w:color w:val="000000"/>
              </w:rPr>
            </w:pPr>
            <w:r w:rsidRPr="000E19B9">
              <w:rPr>
                <w:color w:val="000000"/>
              </w:rPr>
              <w:t>7.4%</w:t>
            </w:r>
          </w:p>
        </w:tc>
        <w:tc>
          <w:tcPr>
            <w:tcW w:w="0" w:type="auto"/>
            <w:tcBorders>
              <w:top w:val="nil"/>
              <w:left w:val="nil"/>
              <w:right w:val="nil"/>
            </w:tcBorders>
            <w:shd w:val="clear" w:color="auto" w:fill="auto"/>
            <w:noWrap/>
            <w:vAlign w:val="bottom"/>
          </w:tcPr>
          <w:p w:rsidR="00276CAF" w:rsidRPr="000E19B9" w:rsidRDefault="00276CAF" w:rsidP="00532660">
            <w:pPr>
              <w:overflowPunct/>
              <w:autoSpaceDE/>
              <w:autoSpaceDN/>
              <w:adjustRightInd/>
              <w:jc w:val="right"/>
              <w:textAlignment w:val="auto"/>
              <w:rPr>
                <w:color w:val="000000"/>
              </w:rPr>
            </w:pPr>
            <w:r w:rsidRPr="000E19B9">
              <w:rPr>
                <w:color w:val="000000"/>
              </w:rPr>
              <w:t>10.6%</w:t>
            </w:r>
          </w:p>
        </w:tc>
      </w:tr>
      <w:tr w:rsidR="00276CAF" w:rsidRPr="000E19B9" w:rsidTr="000E19B9">
        <w:trPr>
          <w:trHeight w:val="20"/>
        </w:trPr>
        <w:tc>
          <w:tcPr>
            <w:tcW w:w="0" w:type="auto"/>
            <w:tcBorders>
              <w:top w:val="nil"/>
              <w:left w:val="nil"/>
              <w:right w:val="nil"/>
            </w:tcBorders>
            <w:shd w:val="clear" w:color="auto" w:fill="auto"/>
            <w:noWrap/>
            <w:vAlign w:val="bottom"/>
            <w:hideMark/>
          </w:tcPr>
          <w:p w:rsidR="00276CAF" w:rsidRPr="000E19B9" w:rsidRDefault="00276CAF" w:rsidP="000E19B9">
            <w:pPr>
              <w:overflowPunct/>
              <w:autoSpaceDE/>
              <w:autoSpaceDN/>
              <w:adjustRightInd/>
              <w:textAlignment w:val="auto"/>
              <w:rPr>
                <w:color w:val="000000"/>
              </w:rPr>
            </w:pPr>
            <w:r w:rsidRPr="000E19B9">
              <w:rPr>
                <w:color w:val="000000"/>
              </w:rPr>
              <w:t xml:space="preserve">(Baa </w:t>
            </w:r>
            <w:r>
              <w:t>–</w:t>
            </w:r>
            <w:r w:rsidRPr="000E19B9">
              <w:rPr>
                <w:color w:val="000000"/>
              </w:rPr>
              <w:t xml:space="preserve"> Aaa)</w:t>
            </w:r>
          </w:p>
        </w:tc>
        <w:tc>
          <w:tcPr>
            <w:tcW w:w="0" w:type="auto"/>
            <w:tcBorders>
              <w:top w:val="nil"/>
              <w:left w:val="nil"/>
              <w:right w:val="nil"/>
            </w:tcBorders>
            <w:shd w:val="clear" w:color="auto" w:fill="auto"/>
            <w:noWrap/>
            <w:vAlign w:val="bottom"/>
            <w:hideMark/>
          </w:tcPr>
          <w:p w:rsidR="00276CAF" w:rsidRPr="000E19B9" w:rsidRDefault="00276CAF" w:rsidP="000E19B9">
            <w:pPr>
              <w:overflowPunct/>
              <w:autoSpaceDE/>
              <w:autoSpaceDN/>
              <w:adjustRightInd/>
              <w:jc w:val="right"/>
              <w:textAlignment w:val="auto"/>
              <w:rPr>
                <w:color w:val="000000"/>
              </w:rPr>
            </w:pPr>
            <w:r w:rsidRPr="000E19B9">
              <w:rPr>
                <w:color w:val="000000"/>
              </w:rPr>
              <w:t>1.0%</w:t>
            </w:r>
          </w:p>
        </w:tc>
        <w:tc>
          <w:tcPr>
            <w:tcW w:w="0" w:type="auto"/>
            <w:tcBorders>
              <w:top w:val="nil"/>
              <w:left w:val="nil"/>
              <w:right w:val="nil"/>
            </w:tcBorders>
            <w:shd w:val="clear" w:color="auto" w:fill="auto"/>
            <w:noWrap/>
            <w:vAlign w:val="bottom"/>
            <w:hideMark/>
          </w:tcPr>
          <w:p w:rsidR="00276CAF" w:rsidRPr="000E19B9" w:rsidRDefault="00276CAF" w:rsidP="000E19B9">
            <w:pPr>
              <w:overflowPunct/>
              <w:autoSpaceDE/>
              <w:autoSpaceDN/>
              <w:adjustRightInd/>
              <w:jc w:val="right"/>
              <w:textAlignment w:val="auto"/>
              <w:rPr>
                <w:color w:val="000000"/>
              </w:rPr>
            </w:pPr>
            <w:r w:rsidRPr="000E19B9">
              <w:rPr>
                <w:color w:val="000000"/>
              </w:rPr>
              <w:t>0.4%</w:t>
            </w:r>
          </w:p>
        </w:tc>
        <w:tc>
          <w:tcPr>
            <w:tcW w:w="0" w:type="auto"/>
            <w:tcBorders>
              <w:top w:val="nil"/>
              <w:left w:val="nil"/>
              <w:right w:val="nil"/>
            </w:tcBorders>
            <w:shd w:val="clear" w:color="auto" w:fill="auto"/>
            <w:noWrap/>
            <w:vAlign w:val="bottom"/>
            <w:hideMark/>
          </w:tcPr>
          <w:p w:rsidR="00276CAF" w:rsidRPr="000E19B9" w:rsidRDefault="00276CAF" w:rsidP="000E19B9">
            <w:pPr>
              <w:overflowPunct/>
              <w:autoSpaceDE/>
              <w:autoSpaceDN/>
              <w:adjustRightInd/>
              <w:jc w:val="right"/>
              <w:textAlignment w:val="auto"/>
              <w:rPr>
                <w:color w:val="000000"/>
              </w:rPr>
            </w:pPr>
            <w:r w:rsidRPr="000E19B9">
              <w:rPr>
                <w:color w:val="000000"/>
              </w:rPr>
              <w:t>0.6%</w:t>
            </w:r>
          </w:p>
        </w:tc>
        <w:tc>
          <w:tcPr>
            <w:tcW w:w="0" w:type="auto"/>
            <w:tcBorders>
              <w:top w:val="nil"/>
              <w:left w:val="nil"/>
              <w:right w:val="nil"/>
            </w:tcBorders>
            <w:shd w:val="clear" w:color="auto" w:fill="auto"/>
            <w:noWrap/>
            <w:vAlign w:val="bottom"/>
            <w:hideMark/>
          </w:tcPr>
          <w:p w:rsidR="00276CAF" w:rsidRPr="000E19B9" w:rsidRDefault="00276CAF" w:rsidP="000E19B9">
            <w:pPr>
              <w:overflowPunct/>
              <w:autoSpaceDE/>
              <w:autoSpaceDN/>
              <w:adjustRightInd/>
              <w:jc w:val="right"/>
              <w:textAlignment w:val="auto"/>
              <w:rPr>
                <w:color w:val="000000"/>
              </w:rPr>
            </w:pPr>
            <w:r w:rsidRPr="000E19B9">
              <w:rPr>
                <w:color w:val="000000"/>
              </w:rPr>
              <w:t>0.9%</w:t>
            </w:r>
          </w:p>
        </w:tc>
        <w:tc>
          <w:tcPr>
            <w:tcW w:w="0" w:type="auto"/>
            <w:tcBorders>
              <w:top w:val="nil"/>
              <w:left w:val="nil"/>
              <w:right w:val="nil"/>
            </w:tcBorders>
            <w:shd w:val="clear" w:color="auto" w:fill="auto"/>
            <w:noWrap/>
            <w:vAlign w:val="bottom"/>
            <w:hideMark/>
          </w:tcPr>
          <w:p w:rsidR="00276CAF" w:rsidRPr="000E19B9" w:rsidRDefault="00276CAF" w:rsidP="000E19B9">
            <w:pPr>
              <w:overflowPunct/>
              <w:autoSpaceDE/>
              <w:autoSpaceDN/>
              <w:adjustRightInd/>
              <w:jc w:val="right"/>
              <w:textAlignment w:val="auto"/>
              <w:rPr>
                <w:color w:val="000000"/>
              </w:rPr>
            </w:pPr>
            <w:r w:rsidRPr="000E19B9">
              <w:rPr>
                <w:color w:val="000000"/>
              </w:rPr>
              <w:t>3.0%</w:t>
            </w:r>
          </w:p>
        </w:tc>
      </w:tr>
      <w:tr w:rsidR="00276CAF" w:rsidRPr="000E19B9" w:rsidTr="000E19B9">
        <w:trPr>
          <w:trHeight w:val="20"/>
        </w:trPr>
        <w:tc>
          <w:tcPr>
            <w:tcW w:w="0" w:type="auto"/>
            <w:tcBorders>
              <w:top w:val="nil"/>
              <w:left w:val="nil"/>
              <w:bottom w:val="single" w:sz="12" w:space="0" w:color="auto"/>
              <w:right w:val="nil"/>
            </w:tcBorders>
            <w:shd w:val="clear" w:color="auto" w:fill="auto"/>
            <w:noWrap/>
            <w:vAlign w:val="bottom"/>
            <w:hideMark/>
          </w:tcPr>
          <w:p w:rsidR="00276CAF" w:rsidRPr="000E19B9" w:rsidRDefault="00276CAF" w:rsidP="00C902DA">
            <w:pPr>
              <w:overflowPunct/>
              <w:autoSpaceDE/>
              <w:autoSpaceDN/>
              <w:adjustRightInd/>
              <w:spacing w:after="60"/>
              <w:textAlignment w:val="auto"/>
              <w:rPr>
                <w:color w:val="000000"/>
              </w:rPr>
            </w:pPr>
            <w:r>
              <w:rPr>
                <w:color w:val="000000"/>
              </w:rPr>
              <w:t xml:space="preserve">(10yr </w:t>
            </w:r>
            <w:r>
              <w:t xml:space="preserve">– </w:t>
            </w:r>
            <w:r w:rsidRPr="000E19B9">
              <w:rPr>
                <w:color w:val="000000"/>
              </w:rPr>
              <w:t>1yr)</w:t>
            </w:r>
          </w:p>
        </w:tc>
        <w:tc>
          <w:tcPr>
            <w:tcW w:w="0" w:type="auto"/>
            <w:tcBorders>
              <w:top w:val="nil"/>
              <w:left w:val="nil"/>
              <w:bottom w:val="single" w:sz="12" w:space="0" w:color="auto"/>
              <w:right w:val="nil"/>
            </w:tcBorders>
            <w:shd w:val="clear" w:color="auto" w:fill="auto"/>
            <w:noWrap/>
            <w:vAlign w:val="bottom"/>
            <w:hideMark/>
          </w:tcPr>
          <w:p w:rsidR="00276CAF" w:rsidRPr="000E19B9" w:rsidRDefault="00276CAF" w:rsidP="00C902DA">
            <w:pPr>
              <w:overflowPunct/>
              <w:autoSpaceDE/>
              <w:autoSpaceDN/>
              <w:adjustRightInd/>
              <w:spacing w:after="60"/>
              <w:jc w:val="right"/>
              <w:textAlignment w:val="auto"/>
              <w:rPr>
                <w:color w:val="000000"/>
              </w:rPr>
            </w:pPr>
            <w:r w:rsidRPr="000E19B9">
              <w:rPr>
                <w:color w:val="000000"/>
              </w:rPr>
              <w:t>1.6%</w:t>
            </w:r>
          </w:p>
        </w:tc>
        <w:tc>
          <w:tcPr>
            <w:tcW w:w="0" w:type="auto"/>
            <w:tcBorders>
              <w:top w:val="nil"/>
              <w:left w:val="nil"/>
              <w:bottom w:val="single" w:sz="12" w:space="0" w:color="auto"/>
              <w:right w:val="nil"/>
            </w:tcBorders>
            <w:shd w:val="clear" w:color="auto" w:fill="auto"/>
            <w:noWrap/>
            <w:vAlign w:val="bottom"/>
            <w:hideMark/>
          </w:tcPr>
          <w:p w:rsidR="00276CAF" w:rsidRPr="000E19B9" w:rsidRDefault="00276CAF" w:rsidP="00C902DA">
            <w:pPr>
              <w:overflowPunct/>
              <w:autoSpaceDE/>
              <w:autoSpaceDN/>
              <w:adjustRightInd/>
              <w:spacing w:after="60"/>
              <w:jc w:val="right"/>
              <w:textAlignment w:val="auto"/>
              <w:rPr>
                <w:color w:val="000000"/>
              </w:rPr>
            </w:pPr>
            <w:r w:rsidRPr="000E19B9">
              <w:rPr>
                <w:color w:val="000000"/>
              </w:rPr>
              <w:t>1.1%</w:t>
            </w:r>
          </w:p>
        </w:tc>
        <w:tc>
          <w:tcPr>
            <w:tcW w:w="0" w:type="auto"/>
            <w:tcBorders>
              <w:top w:val="nil"/>
              <w:left w:val="nil"/>
              <w:bottom w:val="single" w:sz="12" w:space="0" w:color="auto"/>
              <w:right w:val="nil"/>
            </w:tcBorders>
            <w:shd w:val="clear" w:color="auto" w:fill="auto"/>
            <w:noWrap/>
            <w:vAlign w:val="bottom"/>
            <w:hideMark/>
          </w:tcPr>
          <w:p w:rsidR="00276CAF" w:rsidRPr="000E19B9" w:rsidRDefault="00276CAF" w:rsidP="00C902DA">
            <w:pPr>
              <w:overflowPunct/>
              <w:autoSpaceDE/>
              <w:autoSpaceDN/>
              <w:adjustRightInd/>
              <w:spacing w:after="60"/>
              <w:jc w:val="right"/>
              <w:textAlignment w:val="auto"/>
              <w:rPr>
                <w:color w:val="000000"/>
              </w:rPr>
            </w:pPr>
            <w:r w:rsidRPr="000E19B9">
              <w:rPr>
                <w:color w:val="000000"/>
              </w:rPr>
              <w:t>-0.4%</w:t>
            </w:r>
          </w:p>
        </w:tc>
        <w:tc>
          <w:tcPr>
            <w:tcW w:w="0" w:type="auto"/>
            <w:tcBorders>
              <w:top w:val="nil"/>
              <w:left w:val="nil"/>
              <w:bottom w:val="single" w:sz="12" w:space="0" w:color="auto"/>
              <w:right w:val="nil"/>
            </w:tcBorders>
            <w:shd w:val="clear" w:color="auto" w:fill="auto"/>
            <w:noWrap/>
            <w:vAlign w:val="bottom"/>
            <w:hideMark/>
          </w:tcPr>
          <w:p w:rsidR="00276CAF" w:rsidRPr="000E19B9" w:rsidRDefault="00276CAF" w:rsidP="00C902DA">
            <w:pPr>
              <w:overflowPunct/>
              <w:autoSpaceDE/>
              <w:autoSpaceDN/>
              <w:adjustRightInd/>
              <w:spacing w:after="60"/>
              <w:jc w:val="right"/>
              <w:textAlignment w:val="auto"/>
              <w:rPr>
                <w:color w:val="000000"/>
              </w:rPr>
            </w:pPr>
            <w:r w:rsidRPr="000E19B9">
              <w:rPr>
                <w:color w:val="000000"/>
              </w:rPr>
              <w:t>1.7%</w:t>
            </w:r>
          </w:p>
        </w:tc>
        <w:tc>
          <w:tcPr>
            <w:tcW w:w="0" w:type="auto"/>
            <w:tcBorders>
              <w:top w:val="nil"/>
              <w:left w:val="nil"/>
              <w:bottom w:val="single" w:sz="12" w:space="0" w:color="auto"/>
              <w:right w:val="nil"/>
            </w:tcBorders>
            <w:shd w:val="clear" w:color="auto" w:fill="auto"/>
            <w:noWrap/>
            <w:vAlign w:val="bottom"/>
            <w:hideMark/>
          </w:tcPr>
          <w:p w:rsidR="00276CAF" w:rsidRPr="000E19B9" w:rsidRDefault="00276CAF" w:rsidP="00C902DA">
            <w:pPr>
              <w:overflowPunct/>
              <w:autoSpaceDE/>
              <w:autoSpaceDN/>
              <w:adjustRightInd/>
              <w:spacing w:after="60"/>
              <w:jc w:val="right"/>
              <w:textAlignment w:val="auto"/>
              <w:rPr>
                <w:color w:val="000000"/>
              </w:rPr>
            </w:pPr>
            <w:r w:rsidRPr="000E19B9">
              <w:rPr>
                <w:color w:val="000000"/>
              </w:rPr>
              <w:t>3.4%</w:t>
            </w:r>
          </w:p>
        </w:tc>
      </w:tr>
    </w:tbl>
    <w:p w:rsidR="004527CE" w:rsidRPr="004B7D8F" w:rsidRDefault="004527CE" w:rsidP="000769A4">
      <w:pPr>
        <w:overflowPunct/>
        <w:autoSpaceDE/>
        <w:autoSpaceDN/>
        <w:adjustRightInd/>
        <w:spacing w:before="120" w:line="216" w:lineRule="auto"/>
        <w:ind w:right="2970"/>
        <w:jc w:val="both"/>
        <w:textAlignment w:val="auto"/>
      </w:pPr>
      <w:r w:rsidRPr="004527CE">
        <w:rPr>
          <w:i/>
        </w:rPr>
        <w:t>Notes:</w:t>
      </w:r>
      <w:r>
        <w:t xml:space="preserve"> This table presents summary statistics for the time series of data during the period 1990Q3 to 2014Q2, including the sample Mean, standard deviation (Std dev), minimum (Min), Median, and maximum (Max) values. Income Returns </w:t>
      </w:r>
      <w:r w:rsidR="00E52C17">
        <w:t xml:space="preserve">and </w:t>
      </w:r>
      <w:r w:rsidR="00BF41D2">
        <w:t>Capital Gains</w:t>
      </w:r>
      <w:r w:rsidR="00E52C17">
        <w:t xml:space="preserve"> are from NCREIF’s NPI return series for all propert</w:t>
      </w:r>
      <w:r w:rsidR="004B7D8F">
        <w:t>y t</w:t>
      </w:r>
      <w:r w:rsidR="00E52C17">
        <w:t>y</w:t>
      </w:r>
      <w:r w:rsidR="004B7D8F">
        <w:t>p</w:t>
      </w:r>
      <w:r w:rsidR="00E52C17">
        <w:t xml:space="preserve">es and </w:t>
      </w:r>
      <w:r w:rsidR="004B7D8F">
        <w:t xml:space="preserve">all regions, partitioned into income returns (ireturn) and capital appreciation (areturn). </w:t>
      </w:r>
      <w:r w:rsidRPr="004527CE">
        <w:t xml:space="preserve">Volume </w:t>
      </w:r>
      <w:r>
        <w:t xml:space="preserve">measures </w:t>
      </w:r>
      <w:r w:rsidRPr="004527CE">
        <w:t xml:space="preserve">the percentage turnover in the NCREIF database per quarter based on </w:t>
      </w:r>
      <w:r w:rsidR="00BF41D2">
        <w:t>transactions count for the TBI.</w:t>
      </w:r>
      <w:r w:rsidR="004B7D8F">
        <w:t xml:space="preserve"> </w:t>
      </w:r>
      <w:r w:rsidR="004B7D8F" w:rsidRPr="004B7D8F">
        <w:t xml:space="preserve">CRE Tightening measures the net percentage </w:t>
      </w:r>
      <w:r w:rsidR="004B7D8F">
        <w:t xml:space="preserve">of domestic banks reporting net </w:t>
      </w:r>
      <w:r w:rsidR="004B7D8F" w:rsidRPr="004B7D8F">
        <w:t>tighte</w:t>
      </w:r>
      <w:r w:rsidR="004B7D8F">
        <w:t xml:space="preserve">ning on standards for CRE loans, collected from </w:t>
      </w:r>
      <w:r w:rsidR="004B7D8F" w:rsidRPr="004B7D8F">
        <w:t>the</w:t>
      </w:r>
      <w:r w:rsidR="004B7D8F">
        <w:t xml:space="preserve"> </w:t>
      </w:r>
      <w:r w:rsidR="004B7D8F" w:rsidRPr="004B7D8F">
        <w:t>Federal Reserve Board’s Senior Loan Officer Opinion Survey on Bank Lending</w:t>
      </w:r>
      <w:r w:rsidR="004B7D8F">
        <w:t xml:space="preserve"> </w:t>
      </w:r>
      <w:r w:rsidR="004B7D8F" w:rsidRPr="004B7D8F">
        <w:t>Practices. Relative Tightening measures the differen</w:t>
      </w:r>
      <w:r w:rsidR="004B7D8F">
        <w:t xml:space="preserve">ce between net tightening on </w:t>
      </w:r>
      <w:r w:rsidR="00FF5F8C">
        <w:t>commercial/</w:t>
      </w:r>
      <w:r w:rsidR="004B7D8F" w:rsidRPr="004B7D8F">
        <w:t>industrial loans to large</w:t>
      </w:r>
      <w:r w:rsidR="00FF5F8C">
        <w:t>/</w:t>
      </w:r>
      <w:r w:rsidR="004B7D8F" w:rsidRPr="004B7D8F">
        <w:t xml:space="preserve">middle-market firms and net tightening </w:t>
      </w:r>
      <w:r w:rsidR="00E353E6">
        <w:t>o</w:t>
      </w:r>
      <w:r w:rsidR="004B7D8F" w:rsidRPr="004B7D8F">
        <w:t>n</w:t>
      </w:r>
      <w:r w:rsidR="004B7D8F">
        <w:t xml:space="preserve"> </w:t>
      </w:r>
      <w:r w:rsidR="004B7D8F" w:rsidRPr="004B7D8F">
        <w:t>CRE lending standards.</w:t>
      </w:r>
      <w:r w:rsidR="004B7D8F">
        <w:t xml:space="preserve"> </w:t>
      </w:r>
      <w:r w:rsidR="004B7D8F" w:rsidRPr="004B7D8F">
        <w:t>CRE Mtg Flows measures the percentage change in CRE mortgage</w:t>
      </w:r>
      <w:r w:rsidR="004B7D8F">
        <w:t xml:space="preserve"> </w:t>
      </w:r>
      <w:r w:rsidR="004B7D8F" w:rsidRPr="004B7D8F">
        <w:t>orig</w:t>
      </w:r>
      <w:r w:rsidR="004B7D8F">
        <w:t xml:space="preserve">inations from the prior quarter, based on </w:t>
      </w:r>
      <w:r w:rsidR="004B7D8F" w:rsidRPr="004B7D8F">
        <w:t>Flow of Funds data from the</w:t>
      </w:r>
      <w:r w:rsidR="004B7D8F">
        <w:t xml:space="preserve"> </w:t>
      </w:r>
      <w:r w:rsidR="004B7D8F" w:rsidRPr="004B7D8F">
        <w:t>Federal Reserve</w:t>
      </w:r>
      <w:r w:rsidR="004B7D8F">
        <w:t xml:space="preserve">. </w:t>
      </w:r>
      <w:r w:rsidR="004B7D8F" w:rsidRPr="004B7D8F">
        <w:t>CRE Debt</w:t>
      </w:r>
      <w:r w:rsidR="004B7D8F">
        <w:t xml:space="preserve"> measures </w:t>
      </w:r>
      <w:r w:rsidR="004B7D8F" w:rsidRPr="004B7D8F">
        <w:t>the total outstanding balance of CRE</w:t>
      </w:r>
      <w:r w:rsidR="004B7D8F">
        <w:t xml:space="preserve"> mortgage debt,</w:t>
      </w:r>
      <w:r w:rsidR="004B7D8F" w:rsidRPr="004B7D8F">
        <w:t xml:space="preserve"> scaled by </w:t>
      </w:r>
      <w:r w:rsidR="004B7D8F">
        <w:t xml:space="preserve">national </w:t>
      </w:r>
      <w:r w:rsidR="004B7D8F" w:rsidRPr="004B7D8F">
        <w:t>GDP.</w:t>
      </w:r>
      <w:r w:rsidR="004B7D8F">
        <w:t xml:space="preserve"> </w:t>
      </w:r>
      <w:r w:rsidR="00BF41D2">
        <w:t>CRE Spread</w:t>
      </w:r>
      <w:r w:rsidR="004B7D8F">
        <w:t xml:space="preserve"> </w:t>
      </w:r>
      <w:r w:rsidR="004B7D8F" w:rsidRPr="004B7D8F">
        <w:t>measures the difference between NCREIF cap rates</w:t>
      </w:r>
      <w:r w:rsidR="004B7D8F">
        <w:t xml:space="preserve"> </w:t>
      </w:r>
      <w:r w:rsidR="004B7D8F" w:rsidRPr="004B7D8F">
        <w:t>and yields on 10-year Treasuries.</w:t>
      </w:r>
      <w:r w:rsidR="004B7D8F">
        <w:t xml:space="preserve"> </w:t>
      </w:r>
      <w:r w:rsidR="00BF41D2" w:rsidRPr="000E19B9">
        <w:rPr>
          <w:color w:val="000000"/>
        </w:rPr>
        <w:t>R</w:t>
      </w:r>
      <w:r w:rsidR="00BF41D2" w:rsidRPr="000E19B9">
        <w:rPr>
          <w:color w:val="000000"/>
          <w:vertAlign w:val="subscript"/>
        </w:rPr>
        <w:t>F</w:t>
      </w:r>
      <w:r w:rsidR="00BF41D2">
        <w:rPr>
          <w:color w:val="000000"/>
        </w:rPr>
        <w:t xml:space="preserve"> is the </w:t>
      </w:r>
      <w:r w:rsidR="00EA4276">
        <w:t>one-month Treasury bill rate.</w:t>
      </w:r>
      <w:r w:rsidR="00EA4276">
        <w:rPr>
          <w:color w:val="000000"/>
        </w:rPr>
        <w:t xml:space="preserve"> </w:t>
      </w:r>
      <w:r w:rsidR="00BF41D2" w:rsidRPr="000E19B9">
        <w:rPr>
          <w:color w:val="000000"/>
        </w:rPr>
        <w:t>(R</w:t>
      </w:r>
      <w:r w:rsidR="00BF41D2" w:rsidRPr="000E19B9">
        <w:rPr>
          <w:color w:val="000000"/>
          <w:vertAlign w:val="subscript"/>
        </w:rPr>
        <w:t>M</w:t>
      </w:r>
      <w:r w:rsidR="00BF41D2" w:rsidRPr="000E19B9">
        <w:rPr>
          <w:color w:val="000000"/>
        </w:rPr>
        <w:t xml:space="preserve"> </w:t>
      </w:r>
      <w:r w:rsidR="00BF41D2">
        <w:t>–</w:t>
      </w:r>
      <w:r w:rsidR="00BF41D2" w:rsidRPr="000E19B9">
        <w:rPr>
          <w:color w:val="000000"/>
        </w:rPr>
        <w:t xml:space="preserve"> R</w:t>
      </w:r>
      <w:r w:rsidR="00BF41D2" w:rsidRPr="000E19B9">
        <w:rPr>
          <w:color w:val="000000"/>
          <w:vertAlign w:val="subscript"/>
        </w:rPr>
        <w:t>F</w:t>
      </w:r>
      <w:r w:rsidR="00BF41D2" w:rsidRPr="000E19B9">
        <w:rPr>
          <w:color w:val="000000"/>
        </w:rPr>
        <w:t>)</w:t>
      </w:r>
      <w:r w:rsidR="00BF41D2">
        <w:rPr>
          <w:color w:val="000000"/>
        </w:rPr>
        <w:t xml:space="preserve"> is the </w:t>
      </w:r>
      <w:r w:rsidR="00EA4276">
        <w:t xml:space="preserve">excess return on the market. </w:t>
      </w:r>
      <w:r w:rsidR="00BF41D2" w:rsidRPr="000E19B9">
        <w:rPr>
          <w:color w:val="000000"/>
        </w:rPr>
        <w:t>HML</w:t>
      </w:r>
      <w:r w:rsidR="00BF41D2">
        <w:rPr>
          <w:color w:val="000000"/>
        </w:rPr>
        <w:t xml:space="preserve"> </w:t>
      </w:r>
      <w:r w:rsidR="00EA4276">
        <w:rPr>
          <w:color w:val="000000"/>
        </w:rPr>
        <w:t xml:space="preserve">(high minus </w:t>
      </w:r>
      <w:r w:rsidR="00BF41D2">
        <w:rPr>
          <w:color w:val="000000"/>
        </w:rPr>
        <w:t>low</w:t>
      </w:r>
      <w:r w:rsidR="00EA4276">
        <w:rPr>
          <w:color w:val="000000"/>
        </w:rPr>
        <w:t xml:space="preserve">) is </w:t>
      </w:r>
      <w:r w:rsidR="00EA4276">
        <w:t xml:space="preserve">the average return on value portfolios minus the average return on growth portfolios. </w:t>
      </w:r>
      <w:r w:rsidR="00BF41D2">
        <w:rPr>
          <w:color w:val="000000"/>
        </w:rPr>
        <w:t xml:space="preserve">SMB </w:t>
      </w:r>
      <w:r w:rsidR="00EA4276">
        <w:rPr>
          <w:color w:val="000000"/>
        </w:rPr>
        <w:t>(</w:t>
      </w:r>
      <w:r w:rsidR="00BF41D2">
        <w:rPr>
          <w:color w:val="000000"/>
        </w:rPr>
        <w:t>small</w:t>
      </w:r>
      <w:r w:rsidR="00EA4276">
        <w:rPr>
          <w:color w:val="000000"/>
        </w:rPr>
        <w:t xml:space="preserve"> </w:t>
      </w:r>
      <w:r w:rsidR="00BF41D2">
        <w:rPr>
          <w:color w:val="000000"/>
        </w:rPr>
        <w:t>minus</w:t>
      </w:r>
      <w:r w:rsidR="00EA4276">
        <w:rPr>
          <w:color w:val="000000"/>
        </w:rPr>
        <w:t xml:space="preserve"> </w:t>
      </w:r>
      <w:r w:rsidR="00BF41D2">
        <w:rPr>
          <w:color w:val="000000"/>
        </w:rPr>
        <w:t>big</w:t>
      </w:r>
      <w:r w:rsidR="00EA4276">
        <w:rPr>
          <w:color w:val="000000"/>
        </w:rPr>
        <w:t>)</w:t>
      </w:r>
      <w:r w:rsidR="00EA4276">
        <w:t xml:space="preserve"> is the average return on small portfolios minus the average return on big portfolios</w:t>
      </w:r>
      <w:r w:rsidR="00276CAF">
        <w:t>.</w:t>
      </w:r>
      <w:r w:rsidR="00EA4276">
        <w:t xml:space="preserve"> </w:t>
      </w:r>
      <w:r w:rsidR="00276CAF" w:rsidRPr="000E19B9">
        <w:rPr>
          <w:color w:val="000000"/>
        </w:rPr>
        <w:t>(R</w:t>
      </w:r>
      <w:r w:rsidR="00276CAF" w:rsidRPr="000E19B9">
        <w:rPr>
          <w:color w:val="000000"/>
          <w:vertAlign w:val="subscript"/>
        </w:rPr>
        <w:t>M</w:t>
      </w:r>
      <w:r w:rsidR="00276CAF" w:rsidRPr="000E19B9">
        <w:rPr>
          <w:color w:val="000000"/>
        </w:rPr>
        <w:t xml:space="preserve"> </w:t>
      </w:r>
      <w:r w:rsidR="00276CAF">
        <w:t>–</w:t>
      </w:r>
      <w:r w:rsidR="00276CAF" w:rsidRPr="000E19B9">
        <w:rPr>
          <w:color w:val="000000"/>
        </w:rPr>
        <w:t xml:space="preserve"> R</w:t>
      </w:r>
      <w:r w:rsidR="00276CAF" w:rsidRPr="000E19B9">
        <w:rPr>
          <w:color w:val="000000"/>
          <w:vertAlign w:val="subscript"/>
        </w:rPr>
        <w:t>F</w:t>
      </w:r>
      <w:r w:rsidR="00276CAF" w:rsidRPr="000E19B9">
        <w:rPr>
          <w:color w:val="000000"/>
        </w:rPr>
        <w:t>)</w:t>
      </w:r>
      <w:r w:rsidR="00276CAF">
        <w:rPr>
          <w:color w:val="000000"/>
        </w:rPr>
        <w:t xml:space="preserve">, </w:t>
      </w:r>
      <w:r w:rsidR="00276CAF" w:rsidRPr="000E19B9">
        <w:rPr>
          <w:color w:val="000000"/>
        </w:rPr>
        <w:t>R</w:t>
      </w:r>
      <w:r w:rsidR="00276CAF" w:rsidRPr="000E19B9">
        <w:rPr>
          <w:color w:val="000000"/>
          <w:vertAlign w:val="subscript"/>
        </w:rPr>
        <w:t>F</w:t>
      </w:r>
      <w:r w:rsidR="00276CAF">
        <w:rPr>
          <w:color w:val="000000"/>
        </w:rPr>
        <w:t xml:space="preserve">, HML, and SMB are collected from the data library website of Professor Kenneth French. </w:t>
      </w:r>
      <w:r w:rsidR="00EA4276" w:rsidRPr="000E19B9">
        <w:rPr>
          <w:color w:val="000000"/>
        </w:rPr>
        <w:t>Baa</w:t>
      </w:r>
      <w:r w:rsidR="00EA4276" w:rsidRPr="00BF41D2">
        <w:rPr>
          <w:color w:val="000000"/>
        </w:rPr>
        <w:t xml:space="preserve"> </w:t>
      </w:r>
      <w:r w:rsidR="00EA4276">
        <w:rPr>
          <w:color w:val="000000"/>
        </w:rPr>
        <w:t xml:space="preserve">is the Moody’s yield on Baa-rated seasoned corporate bonds. </w:t>
      </w:r>
      <w:r w:rsidR="00BF41D2" w:rsidRPr="000E19B9">
        <w:rPr>
          <w:color w:val="000000"/>
        </w:rPr>
        <w:t xml:space="preserve">(Baa </w:t>
      </w:r>
      <w:r w:rsidR="00BF41D2">
        <w:t>–</w:t>
      </w:r>
      <w:r w:rsidR="00BF41D2" w:rsidRPr="000E19B9">
        <w:rPr>
          <w:color w:val="000000"/>
        </w:rPr>
        <w:t xml:space="preserve"> Aaa)</w:t>
      </w:r>
      <w:r w:rsidR="00BF41D2">
        <w:rPr>
          <w:color w:val="000000"/>
        </w:rPr>
        <w:t xml:space="preserve"> is the credit spread, calculated as the </w:t>
      </w:r>
      <w:r w:rsidR="00851E4D">
        <w:rPr>
          <w:color w:val="000000"/>
        </w:rPr>
        <w:t xml:space="preserve">Moody’s </w:t>
      </w:r>
      <w:r w:rsidR="00BF41D2">
        <w:rPr>
          <w:color w:val="000000"/>
        </w:rPr>
        <w:t xml:space="preserve">yield on Baa-rated </w:t>
      </w:r>
      <w:r w:rsidR="00851E4D">
        <w:rPr>
          <w:color w:val="000000"/>
        </w:rPr>
        <w:t xml:space="preserve">seasoned </w:t>
      </w:r>
      <w:r w:rsidR="00BF41D2">
        <w:rPr>
          <w:color w:val="000000"/>
        </w:rPr>
        <w:t xml:space="preserve">corporate bonds minus the </w:t>
      </w:r>
      <w:r w:rsidR="00851E4D">
        <w:rPr>
          <w:color w:val="000000"/>
        </w:rPr>
        <w:t xml:space="preserve">Moody’s </w:t>
      </w:r>
      <w:r w:rsidR="00BF41D2">
        <w:rPr>
          <w:color w:val="000000"/>
        </w:rPr>
        <w:t xml:space="preserve">yield on Aaa-rated </w:t>
      </w:r>
      <w:r w:rsidR="00851E4D">
        <w:rPr>
          <w:color w:val="000000"/>
        </w:rPr>
        <w:t xml:space="preserve">seasoned </w:t>
      </w:r>
      <w:r w:rsidR="00BF41D2">
        <w:rPr>
          <w:color w:val="000000"/>
        </w:rPr>
        <w:t xml:space="preserve">corporate bonds. (10yr </w:t>
      </w:r>
      <w:r w:rsidR="00BF41D2">
        <w:t xml:space="preserve">– </w:t>
      </w:r>
      <w:r w:rsidR="00BF41D2" w:rsidRPr="000E19B9">
        <w:rPr>
          <w:color w:val="000000"/>
        </w:rPr>
        <w:t>1yr)</w:t>
      </w:r>
      <w:r w:rsidR="00BF41D2">
        <w:rPr>
          <w:color w:val="000000"/>
        </w:rPr>
        <w:t xml:space="preserve"> represents the yield curve, </w:t>
      </w:r>
      <w:r w:rsidR="00EA4276">
        <w:rPr>
          <w:color w:val="000000"/>
        </w:rPr>
        <w:t xml:space="preserve">calculated </w:t>
      </w:r>
      <w:r w:rsidR="00BF41D2">
        <w:rPr>
          <w:color w:val="000000"/>
        </w:rPr>
        <w:t xml:space="preserve">as </w:t>
      </w:r>
      <w:r w:rsidR="00EA4276">
        <w:rPr>
          <w:color w:val="000000"/>
        </w:rPr>
        <w:t>the market yield</w:t>
      </w:r>
      <w:r w:rsidR="00BF41D2">
        <w:rPr>
          <w:color w:val="000000"/>
        </w:rPr>
        <w:t xml:space="preserve"> on 10-year </w:t>
      </w:r>
      <w:r w:rsidR="00EA4276">
        <w:rPr>
          <w:color w:val="000000"/>
        </w:rPr>
        <w:t xml:space="preserve">U.S. </w:t>
      </w:r>
      <w:r w:rsidR="00BF41D2">
        <w:rPr>
          <w:color w:val="000000"/>
        </w:rPr>
        <w:t>Treas</w:t>
      </w:r>
      <w:r w:rsidR="00EA4276">
        <w:rPr>
          <w:color w:val="000000"/>
        </w:rPr>
        <w:t xml:space="preserve">ury securities </w:t>
      </w:r>
      <w:r w:rsidR="00BF41D2">
        <w:rPr>
          <w:color w:val="000000"/>
        </w:rPr>
        <w:t xml:space="preserve">minus the </w:t>
      </w:r>
      <w:r w:rsidR="00EA4276">
        <w:rPr>
          <w:color w:val="000000"/>
        </w:rPr>
        <w:t xml:space="preserve">market yield on 1-year Treasuries. </w:t>
      </w:r>
      <w:r w:rsidR="00EA4276">
        <w:t xml:space="preserve">Baa, Aaa, 10yr, and 1yr rates are </w:t>
      </w:r>
      <w:r w:rsidR="00FE579D">
        <w:t xml:space="preserve">from </w:t>
      </w:r>
      <w:r w:rsidR="00EA4276">
        <w:t xml:space="preserve">the Board of Governors of the Federal Reserve System, Selected Interest Rates–H.15 series. </w:t>
      </w:r>
      <w:r>
        <w:t xml:space="preserve">All variables are </w:t>
      </w:r>
      <w:r w:rsidR="00EA4276">
        <w:t xml:space="preserve">reported </w:t>
      </w:r>
      <w:r>
        <w:t>at quarterly frequency, totaling 96 observations.</w:t>
      </w:r>
      <w:r w:rsidR="008264B3">
        <w:t xml:space="preserve"> </w:t>
      </w:r>
      <w:r>
        <w:t xml:space="preserve"> </w:t>
      </w:r>
    </w:p>
    <w:p w:rsidR="004527CE" w:rsidRPr="00851E4D" w:rsidRDefault="004527CE" w:rsidP="00851E4D">
      <w:pPr>
        <w:overflowPunct/>
        <w:autoSpaceDE/>
        <w:autoSpaceDN/>
        <w:adjustRightInd/>
        <w:textAlignment w:val="auto"/>
        <w:rPr>
          <w:i/>
          <w:color w:val="0070C0"/>
        </w:rPr>
      </w:pPr>
    </w:p>
    <w:p w:rsidR="00E56B74" w:rsidRDefault="00E56B74">
      <w:pPr>
        <w:overflowPunct/>
        <w:autoSpaceDE/>
        <w:autoSpaceDN/>
        <w:adjustRightInd/>
        <w:spacing w:after="200" w:line="276" w:lineRule="auto"/>
        <w:textAlignment w:val="auto"/>
        <w:rPr>
          <w:b/>
          <w:sz w:val="22"/>
          <w:szCs w:val="22"/>
        </w:rPr>
      </w:pPr>
      <w:r>
        <w:rPr>
          <w:b/>
          <w:sz w:val="22"/>
          <w:szCs w:val="22"/>
        </w:rPr>
        <w:br w:type="page"/>
      </w:r>
    </w:p>
    <w:p w:rsidR="00BD67DF" w:rsidRDefault="00BD67DF" w:rsidP="00BD67DF">
      <w:pPr>
        <w:overflowPunct/>
        <w:autoSpaceDE/>
        <w:autoSpaceDN/>
        <w:adjustRightInd/>
        <w:spacing w:after="200" w:line="276" w:lineRule="auto"/>
        <w:textAlignment w:val="auto"/>
        <w:rPr>
          <w:sz w:val="22"/>
          <w:szCs w:val="22"/>
        </w:rPr>
      </w:pPr>
      <w:r>
        <w:rPr>
          <w:b/>
          <w:sz w:val="22"/>
          <w:szCs w:val="22"/>
        </w:rPr>
        <w:t xml:space="preserve">Table 2.  </w:t>
      </w:r>
      <w:r>
        <w:rPr>
          <w:sz w:val="22"/>
          <w:szCs w:val="22"/>
        </w:rPr>
        <w:t xml:space="preserve">Time-series </w:t>
      </w:r>
      <w:r w:rsidR="001F61F1">
        <w:rPr>
          <w:sz w:val="22"/>
          <w:szCs w:val="22"/>
        </w:rPr>
        <w:t>d</w:t>
      </w:r>
      <w:r>
        <w:rPr>
          <w:sz w:val="22"/>
          <w:szCs w:val="22"/>
        </w:rPr>
        <w:t xml:space="preserve">ue </w:t>
      </w:r>
      <w:r w:rsidR="001F61F1">
        <w:rPr>
          <w:sz w:val="22"/>
          <w:szCs w:val="22"/>
        </w:rPr>
        <w:t>d</w:t>
      </w:r>
      <w:r>
        <w:rPr>
          <w:sz w:val="22"/>
          <w:szCs w:val="22"/>
        </w:rPr>
        <w:t xml:space="preserve">iligence </w:t>
      </w:r>
    </w:p>
    <w:tbl>
      <w:tblPr>
        <w:tblW w:w="0" w:type="auto"/>
        <w:tblInd w:w="93" w:type="dxa"/>
        <w:tblLook w:val="04A0"/>
      </w:tblPr>
      <w:tblGrid>
        <w:gridCol w:w="1711"/>
        <w:gridCol w:w="1012"/>
        <w:gridCol w:w="488"/>
        <w:gridCol w:w="1068"/>
        <w:gridCol w:w="643"/>
        <w:gridCol w:w="632"/>
        <w:gridCol w:w="418"/>
      </w:tblGrid>
      <w:tr w:rsidR="00BD67DF" w:rsidRPr="00BD67DF" w:rsidTr="00BD67DF">
        <w:trPr>
          <w:trHeight w:val="20"/>
        </w:trPr>
        <w:tc>
          <w:tcPr>
            <w:tcW w:w="0" w:type="auto"/>
            <w:gridSpan w:val="7"/>
            <w:tcBorders>
              <w:top w:val="single" w:sz="12" w:space="0" w:color="auto"/>
              <w:left w:val="nil"/>
              <w:bottom w:val="nil"/>
              <w:right w:val="nil"/>
            </w:tcBorders>
            <w:shd w:val="clear" w:color="auto" w:fill="auto"/>
            <w:noWrap/>
            <w:vAlign w:val="bottom"/>
            <w:hideMark/>
          </w:tcPr>
          <w:p w:rsidR="00BD67DF" w:rsidRPr="00BD67DF" w:rsidRDefault="00BD67DF" w:rsidP="00C902DA">
            <w:pPr>
              <w:overflowPunct/>
              <w:autoSpaceDE/>
              <w:autoSpaceDN/>
              <w:adjustRightInd/>
              <w:spacing w:before="80" w:after="60"/>
              <w:textAlignment w:val="auto"/>
              <w:rPr>
                <w:color w:val="000000"/>
              </w:rPr>
            </w:pPr>
            <w:r w:rsidRPr="00BD67DF">
              <w:rPr>
                <w:b/>
                <w:bCs/>
                <w:color w:val="000000"/>
              </w:rPr>
              <w:t>Panel A.</w:t>
            </w:r>
            <w:r w:rsidR="001F61F1">
              <w:rPr>
                <w:color w:val="000000"/>
              </w:rPr>
              <w:t xml:space="preserve"> Summary of u</w:t>
            </w:r>
            <w:r w:rsidRPr="00BD67DF">
              <w:rPr>
                <w:color w:val="000000"/>
              </w:rPr>
              <w:t xml:space="preserve">nit </w:t>
            </w:r>
            <w:r w:rsidR="001F61F1">
              <w:rPr>
                <w:color w:val="000000"/>
              </w:rPr>
              <w:t>r</w:t>
            </w:r>
            <w:r w:rsidRPr="00BD67DF">
              <w:rPr>
                <w:color w:val="000000"/>
              </w:rPr>
              <w:t xml:space="preserve">oot </w:t>
            </w:r>
            <w:r w:rsidR="001F61F1">
              <w:rPr>
                <w:color w:val="000000"/>
              </w:rPr>
              <w:t>t</w:t>
            </w:r>
            <w:r w:rsidRPr="00BD67DF">
              <w:rPr>
                <w:color w:val="000000"/>
              </w:rPr>
              <w:t>ests</w:t>
            </w:r>
          </w:p>
        </w:tc>
      </w:tr>
      <w:tr w:rsidR="00BD67DF" w:rsidRPr="00BD67DF" w:rsidTr="00BD67DF">
        <w:trPr>
          <w:trHeight w:val="20"/>
        </w:trPr>
        <w:tc>
          <w:tcPr>
            <w:tcW w:w="0" w:type="auto"/>
            <w:tcBorders>
              <w:top w:val="nil"/>
              <w:left w:val="nil"/>
              <w:bottom w:val="double" w:sz="6" w:space="0" w:color="auto"/>
              <w:right w:val="nil"/>
            </w:tcBorders>
            <w:shd w:val="clear" w:color="auto" w:fill="auto"/>
            <w:noWrap/>
            <w:vAlign w:val="bottom"/>
            <w:hideMark/>
          </w:tcPr>
          <w:p w:rsidR="00BD67DF" w:rsidRPr="00BD67DF" w:rsidRDefault="00BD67DF" w:rsidP="00BD67DF">
            <w:pPr>
              <w:overflowPunct/>
              <w:autoSpaceDE/>
              <w:autoSpaceDN/>
              <w:adjustRightInd/>
              <w:textAlignment w:val="auto"/>
              <w:rPr>
                <w:color w:val="000000"/>
              </w:rPr>
            </w:pPr>
            <w:r w:rsidRPr="00BD67DF">
              <w:rPr>
                <w:color w:val="000000"/>
              </w:rPr>
              <w:t xml:space="preserve">Income Returns, </w:t>
            </w:r>
            <w:r w:rsidRPr="00BD67DF">
              <w:rPr>
                <w:i/>
                <w:iCs/>
                <w:color w:val="000000"/>
              </w:rPr>
              <w:t>y</w:t>
            </w:r>
          </w:p>
        </w:tc>
        <w:tc>
          <w:tcPr>
            <w:tcW w:w="0" w:type="auto"/>
            <w:gridSpan w:val="2"/>
            <w:tcBorders>
              <w:top w:val="nil"/>
              <w:left w:val="nil"/>
              <w:bottom w:val="double" w:sz="6" w:space="0" w:color="auto"/>
              <w:right w:val="nil"/>
            </w:tcBorders>
            <w:shd w:val="clear" w:color="auto" w:fill="auto"/>
            <w:noWrap/>
            <w:vAlign w:val="bottom"/>
            <w:hideMark/>
          </w:tcPr>
          <w:p w:rsidR="00BD67DF" w:rsidRPr="00BD67DF" w:rsidRDefault="00BD67DF" w:rsidP="00BD67DF">
            <w:pPr>
              <w:overflowPunct/>
              <w:autoSpaceDE/>
              <w:autoSpaceDN/>
              <w:adjustRightInd/>
              <w:textAlignment w:val="auto"/>
              <w:rPr>
                <w:color w:val="000000"/>
              </w:rPr>
            </w:pPr>
            <w:r w:rsidRPr="00BD67DF">
              <w:rPr>
                <w:color w:val="000000"/>
              </w:rPr>
              <w:t xml:space="preserve">Capital Gains, </w:t>
            </w:r>
            <w:r w:rsidRPr="00BD67DF">
              <w:rPr>
                <w:i/>
                <w:iCs/>
                <w:color w:val="000000"/>
              </w:rPr>
              <w:t>c</w:t>
            </w:r>
          </w:p>
        </w:tc>
        <w:tc>
          <w:tcPr>
            <w:tcW w:w="0" w:type="auto"/>
            <w:gridSpan w:val="2"/>
            <w:tcBorders>
              <w:top w:val="nil"/>
              <w:left w:val="nil"/>
              <w:bottom w:val="double" w:sz="6" w:space="0" w:color="auto"/>
              <w:right w:val="nil"/>
            </w:tcBorders>
            <w:shd w:val="clear" w:color="auto" w:fill="auto"/>
            <w:noWrap/>
            <w:vAlign w:val="bottom"/>
            <w:hideMark/>
          </w:tcPr>
          <w:p w:rsidR="00BD67DF" w:rsidRPr="00BD67DF" w:rsidRDefault="00BD67DF" w:rsidP="00BD67DF">
            <w:pPr>
              <w:overflowPunct/>
              <w:autoSpaceDE/>
              <w:autoSpaceDN/>
              <w:adjustRightInd/>
              <w:textAlignment w:val="auto"/>
              <w:rPr>
                <w:color w:val="000000"/>
              </w:rPr>
            </w:pPr>
            <w:r w:rsidRPr="00BD67DF">
              <w:rPr>
                <w:color w:val="000000"/>
              </w:rPr>
              <w:t xml:space="preserve">CRE Tightening, </w:t>
            </w:r>
            <w:r w:rsidRPr="00BD67DF">
              <w:rPr>
                <w:i/>
                <w:iCs/>
                <w:color w:val="000000"/>
              </w:rPr>
              <w:t>z</w:t>
            </w:r>
          </w:p>
        </w:tc>
        <w:tc>
          <w:tcPr>
            <w:tcW w:w="0" w:type="auto"/>
            <w:gridSpan w:val="2"/>
            <w:tcBorders>
              <w:top w:val="nil"/>
              <w:left w:val="nil"/>
              <w:bottom w:val="double" w:sz="6" w:space="0" w:color="auto"/>
              <w:right w:val="nil"/>
            </w:tcBorders>
            <w:shd w:val="clear" w:color="auto" w:fill="auto"/>
            <w:noWrap/>
            <w:vAlign w:val="bottom"/>
            <w:hideMark/>
          </w:tcPr>
          <w:p w:rsidR="00BD67DF" w:rsidRPr="00BD67DF" w:rsidRDefault="00BD67DF" w:rsidP="00BD67DF">
            <w:pPr>
              <w:overflowPunct/>
              <w:autoSpaceDE/>
              <w:autoSpaceDN/>
              <w:adjustRightInd/>
              <w:textAlignment w:val="auto"/>
              <w:rPr>
                <w:color w:val="000000"/>
              </w:rPr>
            </w:pPr>
            <w:r w:rsidRPr="00BD67DF">
              <w:rPr>
                <w:color w:val="000000"/>
              </w:rPr>
              <w:t xml:space="preserve">Volume, </w:t>
            </w:r>
            <w:r w:rsidRPr="00BD67DF">
              <w:rPr>
                <w:i/>
                <w:iCs/>
                <w:color w:val="000000"/>
              </w:rPr>
              <w:t>v</w:t>
            </w:r>
          </w:p>
        </w:tc>
      </w:tr>
      <w:tr w:rsidR="00BD67DF" w:rsidRPr="00BD67DF" w:rsidTr="00BD67DF">
        <w:trPr>
          <w:trHeight w:val="20"/>
        </w:trPr>
        <w:tc>
          <w:tcPr>
            <w:tcW w:w="0" w:type="auto"/>
            <w:tcBorders>
              <w:top w:val="double" w:sz="6" w:space="0" w:color="auto"/>
              <w:left w:val="nil"/>
              <w:bottom w:val="single" w:sz="12" w:space="0" w:color="auto"/>
              <w:right w:val="nil"/>
            </w:tcBorders>
            <w:shd w:val="clear" w:color="auto" w:fill="auto"/>
            <w:noWrap/>
            <w:vAlign w:val="bottom"/>
            <w:hideMark/>
          </w:tcPr>
          <w:p w:rsidR="00BD67DF" w:rsidRPr="00BD67DF" w:rsidRDefault="00BD67DF" w:rsidP="00BD67DF">
            <w:pPr>
              <w:overflowPunct/>
              <w:autoSpaceDE/>
              <w:autoSpaceDN/>
              <w:adjustRightInd/>
              <w:spacing w:after="80"/>
              <w:jc w:val="center"/>
              <w:textAlignment w:val="auto"/>
              <w:rPr>
                <w:color w:val="000000"/>
              </w:rPr>
            </w:pPr>
            <w:r w:rsidRPr="00BD67DF">
              <w:rPr>
                <w:color w:val="000000"/>
              </w:rPr>
              <w:t>I(1)</w:t>
            </w:r>
          </w:p>
        </w:tc>
        <w:tc>
          <w:tcPr>
            <w:tcW w:w="0" w:type="auto"/>
            <w:gridSpan w:val="2"/>
            <w:tcBorders>
              <w:top w:val="double" w:sz="6" w:space="0" w:color="auto"/>
              <w:left w:val="nil"/>
              <w:bottom w:val="single" w:sz="12" w:space="0" w:color="auto"/>
              <w:right w:val="nil"/>
            </w:tcBorders>
            <w:shd w:val="clear" w:color="auto" w:fill="auto"/>
            <w:noWrap/>
            <w:vAlign w:val="bottom"/>
            <w:hideMark/>
          </w:tcPr>
          <w:p w:rsidR="00BD67DF" w:rsidRPr="00BD67DF" w:rsidRDefault="00BD67DF" w:rsidP="00BD67DF">
            <w:pPr>
              <w:overflowPunct/>
              <w:autoSpaceDE/>
              <w:autoSpaceDN/>
              <w:adjustRightInd/>
              <w:spacing w:after="80"/>
              <w:jc w:val="center"/>
              <w:textAlignment w:val="auto"/>
              <w:rPr>
                <w:color w:val="000000"/>
              </w:rPr>
            </w:pPr>
            <w:r w:rsidRPr="00BD67DF">
              <w:rPr>
                <w:color w:val="000000"/>
              </w:rPr>
              <w:t>I(1)</w:t>
            </w:r>
          </w:p>
        </w:tc>
        <w:tc>
          <w:tcPr>
            <w:tcW w:w="0" w:type="auto"/>
            <w:gridSpan w:val="2"/>
            <w:tcBorders>
              <w:top w:val="double" w:sz="6" w:space="0" w:color="auto"/>
              <w:left w:val="nil"/>
              <w:bottom w:val="single" w:sz="12" w:space="0" w:color="auto"/>
              <w:right w:val="nil"/>
            </w:tcBorders>
            <w:shd w:val="clear" w:color="auto" w:fill="auto"/>
            <w:noWrap/>
            <w:vAlign w:val="bottom"/>
            <w:hideMark/>
          </w:tcPr>
          <w:p w:rsidR="00BD67DF" w:rsidRPr="00BD67DF" w:rsidRDefault="00BD67DF" w:rsidP="00BD67DF">
            <w:pPr>
              <w:overflowPunct/>
              <w:autoSpaceDE/>
              <w:autoSpaceDN/>
              <w:adjustRightInd/>
              <w:spacing w:after="80"/>
              <w:jc w:val="center"/>
              <w:textAlignment w:val="auto"/>
              <w:rPr>
                <w:color w:val="000000"/>
              </w:rPr>
            </w:pPr>
            <w:r w:rsidRPr="00BD67DF">
              <w:rPr>
                <w:color w:val="000000"/>
              </w:rPr>
              <w:t>I(1)</w:t>
            </w:r>
          </w:p>
        </w:tc>
        <w:tc>
          <w:tcPr>
            <w:tcW w:w="0" w:type="auto"/>
            <w:gridSpan w:val="2"/>
            <w:tcBorders>
              <w:top w:val="double" w:sz="6" w:space="0" w:color="auto"/>
              <w:left w:val="nil"/>
              <w:bottom w:val="single" w:sz="12" w:space="0" w:color="auto"/>
              <w:right w:val="nil"/>
            </w:tcBorders>
            <w:shd w:val="clear" w:color="auto" w:fill="auto"/>
            <w:noWrap/>
            <w:vAlign w:val="bottom"/>
            <w:hideMark/>
          </w:tcPr>
          <w:p w:rsidR="00BD67DF" w:rsidRPr="00BD67DF" w:rsidRDefault="00BD67DF" w:rsidP="00BD67DF">
            <w:pPr>
              <w:overflowPunct/>
              <w:autoSpaceDE/>
              <w:autoSpaceDN/>
              <w:adjustRightInd/>
              <w:spacing w:after="80"/>
              <w:jc w:val="center"/>
              <w:textAlignment w:val="auto"/>
              <w:rPr>
                <w:color w:val="000000"/>
              </w:rPr>
            </w:pPr>
            <w:r w:rsidRPr="00BD67DF">
              <w:rPr>
                <w:color w:val="000000"/>
              </w:rPr>
              <w:t>I(1)</w:t>
            </w:r>
          </w:p>
        </w:tc>
      </w:tr>
      <w:tr w:rsidR="00BD67DF" w:rsidRPr="00BD67DF" w:rsidTr="00BD67DF">
        <w:trPr>
          <w:trHeight w:val="20"/>
        </w:trPr>
        <w:tc>
          <w:tcPr>
            <w:tcW w:w="0" w:type="auto"/>
            <w:gridSpan w:val="7"/>
            <w:tcBorders>
              <w:top w:val="single" w:sz="12" w:space="0" w:color="auto"/>
              <w:left w:val="nil"/>
              <w:bottom w:val="nil"/>
              <w:right w:val="nil"/>
            </w:tcBorders>
            <w:shd w:val="clear" w:color="auto" w:fill="auto"/>
            <w:noWrap/>
            <w:vAlign w:val="bottom"/>
            <w:hideMark/>
          </w:tcPr>
          <w:p w:rsidR="00BD67DF" w:rsidRPr="00BD67DF" w:rsidRDefault="00BD67DF" w:rsidP="00C902DA">
            <w:pPr>
              <w:overflowPunct/>
              <w:autoSpaceDE/>
              <w:autoSpaceDN/>
              <w:adjustRightInd/>
              <w:spacing w:before="80" w:after="60"/>
              <w:textAlignment w:val="auto"/>
              <w:rPr>
                <w:color w:val="000000"/>
              </w:rPr>
            </w:pPr>
            <w:r w:rsidRPr="00BD67DF">
              <w:rPr>
                <w:b/>
                <w:bCs/>
                <w:color w:val="000000"/>
              </w:rPr>
              <w:t xml:space="preserve">Panel B. </w:t>
            </w:r>
            <w:r w:rsidRPr="00BD67DF">
              <w:rPr>
                <w:color w:val="000000"/>
              </w:rPr>
              <w:t xml:space="preserve">Cointegration </w:t>
            </w:r>
            <w:r w:rsidR="00C902DA">
              <w:rPr>
                <w:color w:val="000000"/>
              </w:rPr>
              <w:t>t</w:t>
            </w:r>
            <w:r w:rsidRPr="00BD67DF">
              <w:rPr>
                <w:color w:val="000000"/>
              </w:rPr>
              <w:t>ests</w:t>
            </w:r>
          </w:p>
        </w:tc>
      </w:tr>
      <w:tr w:rsidR="00BD67DF" w:rsidRPr="00BD67DF" w:rsidTr="00BD67DF">
        <w:trPr>
          <w:trHeight w:val="20"/>
        </w:trPr>
        <w:tc>
          <w:tcPr>
            <w:tcW w:w="0" w:type="auto"/>
            <w:tcBorders>
              <w:top w:val="nil"/>
              <w:left w:val="nil"/>
              <w:bottom w:val="double" w:sz="6" w:space="0" w:color="auto"/>
              <w:right w:val="nil"/>
            </w:tcBorders>
            <w:shd w:val="clear" w:color="auto" w:fill="auto"/>
            <w:noWrap/>
            <w:vAlign w:val="bottom"/>
            <w:hideMark/>
          </w:tcPr>
          <w:p w:rsidR="00BD67DF" w:rsidRPr="00BD67DF" w:rsidRDefault="00BD67DF" w:rsidP="00BD67DF">
            <w:pPr>
              <w:overflowPunct/>
              <w:autoSpaceDE/>
              <w:autoSpaceDN/>
              <w:adjustRightInd/>
              <w:jc w:val="right"/>
              <w:textAlignment w:val="auto"/>
              <w:rPr>
                <w:color w:val="000000"/>
              </w:rPr>
            </w:pPr>
            <w:r w:rsidRPr="00BD67DF">
              <w:rPr>
                <w:color w:val="000000"/>
              </w:rPr>
              <w:t>Set:</w:t>
            </w:r>
          </w:p>
        </w:tc>
        <w:tc>
          <w:tcPr>
            <w:tcW w:w="0" w:type="auto"/>
            <w:gridSpan w:val="2"/>
            <w:tcBorders>
              <w:top w:val="nil"/>
              <w:left w:val="nil"/>
              <w:bottom w:val="double" w:sz="6" w:space="0" w:color="auto"/>
              <w:right w:val="nil"/>
            </w:tcBorders>
            <w:shd w:val="clear" w:color="auto" w:fill="auto"/>
            <w:noWrap/>
            <w:vAlign w:val="bottom"/>
            <w:hideMark/>
          </w:tcPr>
          <w:p w:rsidR="00BD67DF" w:rsidRPr="00BD67DF" w:rsidRDefault="00BD67DF" w:rsidP="00BD67DF">
            <w:pPr>
              <w:overflowPunct/>
              <w:autoSpaceDE/>
              <w:autoSpaceDN/>
              <w:adjustRightInd/>
              <w:jc w:val="center"/>
              <w:textAlignment w:val="auto"/>
              <w:rPr>
                <w:b/>
                <w:color w:val="000000"/>
              </w:rPr>
            </w:pPr>
            <w:r w:rsidRPr="00BD67DF">
              <w:rPr>
                <w:b/>
                <w:color w:val="000000"/>
              </w:rPr>
              <w:t>{</w:t>
            </w:r>
            <w:r w:rsidR="000E19B9">
              <w:rPr>
                <w:b/>
                <w:color w:val="000000"/>
              </w:rPr>
              <w:t xml:space="preserve"> </w:t>
            </w:r>
            <w:r w:rsidRPr="00BD67DF">
              <w:rPr>
                <w:b/>
                <w:i/>
                <w:iCs/>
                <w:color w:val="000000"/>
              </w:rPr>
              <w:t>y</w:t>
            </w:r>
            <w:r w:rsidRPr="00BD67DF">
              <w:rPr>
                <w:b/>
                <w:color w:val="000000"/>
              </w:rPr>
              <w:t>,</w:t>
            </w:r>
            <w:r w:rsidR="000E19B9">
              <w:rPr>
                <w:b/>
                <w:color w:val="000000"/>
              </w:rPr>
              <w:t xml:space="preserve"> </w:t>
            </w:r>
            <w:r w:rsidRPr="00BD67DF">
              <w:rPr>
                <w:b/>
                <w:i/>
                <w:iCs/>
                <w:color w:val="000000"/>
              </w:rPr>
              <w:t>c</w:t>
            </w:r>
            <w:r w:rsidRPr="00BD67DF">
              <w:rPr>
                <w:b/>
                <w:color w:val="000000"/>
              </w:rPr>
              <w:t>,</w:t>
            </w:r>
            <w:r w:rsidR="000E19B9">
              <w:rPr>
                <w:b/>
                <w:color w:val="000000"/>
              </w:rPr>
              <w:t xml:space="preserve"> </w:t>
            </w:r>
            <w:r w:rsidRPr="00BD67DF">
              <w:rPr>
                <w:b/>
                <w:i/>
                <w:iCs/>
                <w:color w:val="000000"/>
              </w:rPr>
              <w:t>z</w:t>
            </w:r>
            <w:r w:rsidRPr="00BD67DF">
              <w:rPr>
                <w:b/>
                <w:color w:val="000000"/>
              </w:rPr>
              <w:t>,</w:t>
            </w:r>
            <w:r w:rsidR="000E19B9">
              <w:rPr>
                <w:b/>
                <w:color w:val="000000"/>
              </w:rPr>
              <w:t xml:space="preserve"> </w:t>
            </w:r>
            <w:r w:rsidRPr="00BD67DF">
              <w:rPr>
                <w:b/>
                <w:i/>
                <w:iCs/>
                <w:color w:val="000000"/>
              </w:rPr>
              <w:t>v</w:t>
            </w:r>
            <w:r w:rsidR="000E19B9">
              <w:rPr>
                <w:b/>
                <w:i/>
                <w:iCs/>
                <w:color w:val="000000"/>
              </w:rPr>
              <w:t xml:space="preserve"> </w:t>
            </w:r>
            <w:r w:rsidRPr="00BD67DF">
              <w:rPr>
                <w:b/>
                <w:color w:val="000000"/>
              </w:rPr>
              <w:t>}</w:t>
            </w:r>
          </w:p>
        </w:tc>
        <w:tc>
          <w:tcPr>
            <w:tcW w:w="0" w:type="auto"/>
            <w:gridSpan w:val="2"/>
            <w:tcBorders>
              <w:top w:val="nil"/>
              <w:left w:val="nil"/>
              <w:bottom w:val="double" w:sz="6" w:space="0" w:color="auto"/>
              <w:right w:val="nil"/>
            </w:tcBorders>
            <w:shd w:val="clear" w:color="auto" w:fill="auto"/>
            <w:noWrap/>
            <w:vAlign w:val="bottom"/>
            <w:hideMark/>
          </w:tcPr>
          <w:p w:rsidR="00BD67DF" w:rsidRPr="00BD67DF" w:rsidRDefault="00BD67DF" w:rsidP="00BD67DF">
            <w:pPr>
              <w:overflowPunct/>
              <w:autoSpaceDE/>
              <w:autoSpaceDN/>
              <w:adjustRightInd/>
              <w:jc w:val="center"/>
              <w:textAlignment w:val="auto"/>
              <w:rPr>
                <w:b/>
                <w:color w:val="000000"/>
              </w:rPr>
            </w:pPr>
            <w:r w:rsidRPr="00BD67DF">
              <w:rPr>
                <w:b/>
                <w:color w:val="000000"/>
              </w:rPr>
              <w:t>{</w:t>
            </w:r>
            <w:r w:rsidR="000E19B9">
              <w:rPr>
                <w:b/>
                <w:color w:val="000000"/>
              </w:rPr>
              <w:t xml:space="preserve"> </w:t>
            </w:r>
            <w:r w:rsidRPr="00BD67DF">
              <w:rPr>
                <w:b/>
                <w:i/>
                <w:iCs/>
                <w:color w:val="000000"/>
              </w:rPr>
              <w:t>y</w:t>
            </w:r>
            <w:r w:rsidRPr="00BD67DF">
              <w:rPr>
                <w:b/>
                <w:color w:val="000000"/>
              </w:rPr>
              <w:t>,</w:t>
            </w:r>
            <w:r w:rsidR="000E19B9">
              <w:rPr>
                <w:b/>
                <w:color w:val="000000"/>
              </w:rPr>
              <w:t xml:space="preserve"> </w:t>
            </w:r>
            <w:r w:rsidRPr="00BD67DF">
              <w:rPr>
                <w:b/>
                <w:i/>
                <w:iCs/>
                <w:color w:val="000000"/>
              </w:rPr>
              <w:t>c</w:t>
            </w:r>
            <w:r w:rsidRPr="00BD67DF">
              <w:rPr>
                <w:b/>
                <w:color w:val="000000"/>
              </w:rPr>
              <w:t>,</w:t>
            </w:r>
            <w:r w:rsidR="000E19B9">
              <w:rPr>
                <w:b/>
                <w:color w:val="000000"/>
              </w:rPr>
              <w:t xml:space="preserve"> </w:t>
            </w:r>
            <w:r w:rsidRPr="00BD67DF">
              <w:rPr>
                <w:b/>
                <w:i/>
                <w:iCs/>
                <w:color w:val="000000"/>
              </w:rPr>
              <w:t>z</w:t>
            </w:r>
            <w:r w:rsidR="000E19B9">
              <w:rPr>
                <w:b/>
                <w:i/>
                <w:iCs/>
                <w:color w:val="000000"/>
              </w:rPr>
              <w:t xml:space="preserve"> </w:t>
            </w:r>
            <w:r w:rsidRPr="00BD67DF">
              <w:rPr>
                <w:b/>
                <w:color w:val="000000"/>
              </w:rPr>
              <w:t>}</w:t>
            </w:r>
          </w:p>
        </w:tc>
        <w:tc>
          <w:tcPr>
            <w:tcW w:w="0" w:type="auto"/>
            <w:gridSpan w:val="2"/>
            <w:tcBorders>
              <w:top w:val="nil"/>
              <w:left w:val="nil"/>
              <w:bottom w:val="double" w:sz="6" w:space="0" w:color="auto"/>
              <w:right w:val="nil"/>
            </w:tcBorders>
            <w:shd w:val="clear" w:color="auto" w:fill="auto"/>
            <w:noWrap/>
            <w:vAlign w:val="bottom"/>
            <w:hideMark/>
          </w:tcPr>
          <w:p w:rsidR="00BD67DF" w:rsidRPr="00BD67DF" w:rsidRDefault="00BD67DF" w:rsidP="00BD67DF">
            <w:pPr>
              <w:overflowPunct/>
              <w:autoSpaceDE/>
              <w:autoSpaceDN/>
              <w:adjustRightInd/>
              <w:jc w:val="center"/>
              <w:textAlignment w:val="auto"/>
              <w:rPr>
                <w:b/>
                <w:color w:val="000000"/>
              </w:rPr>
            </w:pPr>
            <w:r w:rsidRPr="00BD67DF">
              <w:rPr>
                <w:b/>
                <w:color w:val="000000"/>
              </w:rPr>
              <w:t>{</w:t>
            </w:r>
            <w:r w:rsidR="000E19B9">
              <w:rPr>
                <w:b/>
                <w:color w:val="000000"/>
              </w:rPr>
              <w:t xml:space="preserve"> </w:t>
            </w:r>
            <w:r w:rsidRPr="00BD67DF">
              <w:rPr>
                <w:b/>
                <w:i/>
                <w:iCs/>
                <w:color w:val="000000"/>
              </w:rPr>
              <w:t>y</w:t>
            </w:r>
            <w:r w:rsidRPr="00BD67DF">
              <w:rPr>
                <w:b/>
                <w:color w:val="000000"/>
              </w:rPr>
              <w:t>,</w:t>
            </w:r>
            <w:r w:rsidR="000E19B9">
              <w:rPr>
                <w:b/>
                <w:color w:val="000000"/>
              </w:rPr>
              <w:t xml:space="preserve"> </w:t>
            </w:r>
            <w:r w:rsidRPr="00BD67DF">
              <w:rPr>
                <w:b/>
                <w:i/>
                <w:iCs/>
                <w:color w:val="000000"/>
              </w:rPr>
              <w:t>c</w:t>
            </w:r>
            <w:r w:rsidR="000E19B9">
              <w:rPr>
                <w:b/>
                <w:i/>
                <w:iCs/>
                <w:color w:val="000000"/>
              </w:rPr>
              <w:t xml:space="preserve"> </w:t>
            </w:r>
            <w:r w:rsidRPr="00BD67DF">
              <w:rPr>
                <w:b/>
                <w:color w:val="000000"/>
              </w:rPr>
              <w:t>}</w:t>
            </w:r>
          </w:p>
        </w:tc>
      </w:tr>
      <w:tr w:rsidR="00BD67DF" w:rsidRPr="00BD67DF" w:rsidTr="00BD67DF">
        <w:trPr>
          <w:trHeight w:val="20"/>
        </w:trPr>
        <w:tc>
          <w:tcPr>
            <w:tcW w:w="0" w:type="auto"/>
            <w:tcBorders>
              <w:top w:val="nil"/>
              <w:left w:val="nil"/>
              <w:bottom w:val="nil"/>
              <w:right w:val="nil"/>
            </w:tcBorders>
            <w:shd w:val="clear" w:color="auto" w:fill="auto"/>
            <w:noWrap/>
            <w:vAlign w:val="bottom"/>
            <w:hideMark/>
          </w:tcPr>
          <w:p w:rsidR="00BD67DF" w:rsidRPr="00BD67DF" w:rsidRDefault="00BD67DF" w:rsidP="00BD67DF">
            <w:pPr>
              <w:overflowPunct/>
              <w:autoSpaceDE/>
              <w:autoSpaceDN/>
              <w:adjustRightInd/>
              <w:jc w:val="right"/>
              <w:textAlignment w:val="auto"/>
              <w:rPr>
                <w:color w:val="000000"/>
              </w:rPr>
            </w:pPr>
            <w:r w:rsidRPr="00BD67DF">
              <w:rPr>
                <w:color w:val="000000"/>
              </w:rPr>
              <w:t>Rank</w:t>
            </w:r>
          </w:p>
        </w:tc>
        <w:tc>
          <w:tcPr>
            <w:tcW w:w="0" w:type="auto"/>
            <w:gridSpan w:val="2"/>
            <w:tcBorders>
              <w:top w:val="double" w:sz="6" w:space="0" w:color="auto"/>
              <w:left w:val="nil"/>
              <w:bottom w:val="nil"/>
              <w:right w:val="nil"/>
            </w:tcBorders>
            <w:shd w:val="clear" w:color="auto" w:fill="auto"/>
            <w:noWrap/>
            <w:vAlign w:val="bottom"/>
            <w:hideMark/>
          </w:tcPr>
          <w:p w:rsidR="00BD67DF" w:rsidRPr="00BD67DF" w:rsidRDefault="00BD67DF" w:rsidP="00BD67DF">
            <w:pPr>
              <w:overflowPunct/>
              <w:autoSpaceDE/>
              <w:autoSpaceDN/>
              <w:adjustRightInd/>
              <w:jc w:val="center"/>
              <w:textAlignment w:val="auto"/>
              <w:rPr>
                <w:color w:val="000000"/>
              </w:rPr>
            </w:pPr>
            <w:r w:rsidRPr="00BD67DF">
              <w:rPr>
                <w:color w:val="000000"/>
              </w:rPr>
              <w:t>Trace</w:t>
            </w:r>
          </w:p>
        </w:tc>
        <w:tc>
          <w:tcPr>
            <w:tcW w:w="0" w:type="auto"/>
            <w:gridSpan w:val="2"/>
            <w:tcBorders>
              <w:top w:val="double" w:sz="6" w:space="0" w:color="auto"/>
              <w:left w:val="nil"/>
              <w:bottom w:val="nil"/>
              <w:right w:val="nil"/>
            </w:tcBorders>
            <w:shd w:val="clear" w:color="auto" w:fill="auto"/>
            <w:noWrap/>
            <w:vAlign w:val="bottom"/>
            <w:hideMark/>
          </w:tcPr>
          <w:p w:rsidR="00BD67DF" w:rsidRPr="00BD67DF" w:rsidRDefault="00BD67DF" w:rsidP="00BD67DF">
            <w:pPr>
              <w:overflowPunct/>
              <w:autoSpaceDE/>
              <w:autoSpaceDN/>
              <w:adjustRightInd/>
              <w:jc w:val="center"/>
              <w:textAlignment w:val="auto"/>
              <w:rPr>
                <w:color w:val="000000"/>
              </w:rPr>
            </w:pPr>
            <w:r w:rsidRPr="00BD67DF">
              <w:rPr>
                <w:color w:val="000000"/>
              </w:rPr>
              <w:t>Trace</w:t>
            </w:r>
          </w:p>
        </w:tc>
        <w:tc>
          <w:tcPr>
            <w:tcW w:w="0" w:type="auto"/>
            <w:gridSpan w:val="2"/>
            <w:tcBorders>
              <w:top w:val="double" w:sz="6" w:space="0" w:color="auto"/>
              <w:left w:val="nil"/>
              <w:bottom w:val="nil"/>
              <w:right w:val="nil"/>
            </w:tcBorders>
            <w:shd w:val="clear" w:color="auto" w:fill="auto"/>
            <w:noWrap/>
            <w:vAlign w:val="bottom"/>
            <w:hideMark/>
          </w:tcPr>
          <w:p w:rsidR="00BD67DF" w:rsidRPr="00BD67DF" w:rsidRDefault="00BD67DF" w:rsidP="00BD67DF">
            <w:pPr>
              <w:overflowPunct/>
              <w:autoSpaceDE/>
              <w:autoSpaceDN/>
              <w:adjustRightInd/>
              <w:jc w:val="center"/>
              <w:textAlignment w:val="auto"/>
              <w:rPr>
                <w:color w:val="000000"/>
              </w:rPr>
            </w:pPr>
            <w:r w:rsidRPr="00BD67DF">
              <w:rPr>
                <w:color w:val="000000"/>
              </w:rPr>
              <w:t>Trace</w:t>
            </w:r>
          </w:p>
        </w:tc>
      </w:tr>
      <w:tr w:rsidR="00BD67DF" w:rsidRPr="00BD67DF" w:rsidTr="00BD67DF">
        <w:trPr>
          <w:trHeight w:val="20"/>
        </w:trPr>
        <w:tc>
          <w:tcPr>
            <w:tcW w:w="0" w:type="auto"/>
            <w:tcBorders>
              <w:top w:val="nil"/>
              <w:left w:val="nil"/>
              <w:bottom w:val="nil"/>
              <w:right w:val="nil"/>
            </w:tcBorders>
            <w:shd w:val="clear" w:color="auto" w:fill="auto"/>
            <w:noWrap/>
            <w:vAlign w:val="bottom"/>
            <w:hideMark/>
          </w:tcPr>
          <w:p w:rsidR="00BD67DF" w:rsidRPr="00BD67DF" w:rsidRDefault="00BD67DF" w:rsidP="00BD67DF">
            <w:pPr>
              <w:overflowPunct/>
              <w:autoSpaceDE/>
              <w:autoSpaceDN/>
              <w:adjustRightInd/>
              <w:jc w:val="right"/>
              <w:textAlignment w:val="auto"/>
              <w:rPr>
                <w:color w:val="000000"/>
              </w:rPr>
            </w:pPr>
            <w:r w:rsidRPr="00BD67DF">
              <w:rPr>
                <w:color w:val="000000"/>
              </w:rPr>
              <w:t>0</w:t>
            </w:r>
          </w:p>
        </w:tc>
        <w:tc>
          <w:tcPr>
            <w:tcW w:w="0" w:type="auto"/>
            <w:tcBorders>
              <w:top w:val="nil"/>
              <w:left w:val="nil"/>
              <w:bottom w:val="nil"/>
              <w:right w:val="nil"/>
            </w:tcBorders>
            <w:shd w:val="clear" w:color="auto" w:fill="auto"/>
            <w:noWrap/>
            <w:vAlign w:val="bottom"/>
            <w:hideMark/>
          </w:tcPr>
          <w:p w:rsidR="00BD67DF" w:rsidRPr="00BD67DF" w:rsidRDefault="00BD67DF" w:rsidP="000769A4">
            <w:pPr>
              <w:overflowPunct/>
              <w:autoSpaceDE/>
              <w:autoSpaceDN/>
              <w:adjustRightInd/>
              <w:ind w:right="-66"/>
              <w:jc w:val="right"/>
              <w:textAlignment w:val="auto"/>
              <w:rPr>
                <w:color w:val="000000"/>
              </w:rPr>
            </w:pPr>
            <w:r w:rsidRPr="00BD67DF">
              <w:rPr>
                <w:color w:val="000000"/>
              </w:rPr>
              <w:t>113.5</w:t>
            </w:r>
          </w:p>
        </w:tc>
        <w:tc>
          <w:tcPr>
            <w:tcW w:w="0" w:type="auto"/>
            <w:tcBorders>
              <w:top w:val="nil"/>
              <w:left w:val="nil"/>
              <w:bottom w:val="nil"/>
              <w:right w:val="nil"/>
            </w:tcBorders>
            <w:shd w:val="clear" w:color="auto" w:fill="auto"/>
            <w:noWrap/>
            <w:vAlign w:val="bottom"/>
            <w:hideMark/>
          </w:tcPr>
          <w:p w:rsidR="00BD67DF" w:rsidRPr="00BD67DF" w:rsidRDefault="00F52969" w:rsidP="000769A4">
            <w:pPr>
              <w:overflowPunct/>
              <w:autoSpaceDE/>
              <w:autoSpaceDN/>
              <w:adjustRightInd/>
              <w:ind w:left="-122"/>
              <w:textAlignment w:val="auto"/>
              <w:rPr>
                <w:color w:val="000000"/>
              </w:rPr>
            </w:pPr>
            <w:r>
              <w:rPr>
                <w:color w:val="000000"/>
                <w:vertAlign w:val="superscript"/>
              </w:rPr>
              <w:t>**</w:t>
            </w:r>
          </w:p>
        </w:tc>
        <w:tc>
          <w:tcPr>
            <w:tcW w:w="0" w:type="auto"/>
            <w:tcBorders>
              <w:top w:val="nil"/>
              <w:left w:val="nil"/>
              <w:bottom w:val="nil"/>
              <w:right w:val="nil"/>
            </w:tcBorders>
            <w:shd w:val="clear" w:color="auto" w:fill="auto"/>
            <w:noWrap/>
            <w:vAlign w:val="bottom"/>
            <w:hideMark/>
          </w:tcPr>
          <w:p w:rsidR="00BD67DF" w:rsidRPr="00BD67DF" w:rsidRDefault="00BD67DF" w:rsidP="000769A4">
            <w:pPr>
              <w:overflowPunct/>
              <w:autoSpaceDE/>
              <w:autoSpaceDN/>
              <w:adjustRightInd/>
              <w:ind w:right="-61"/>
              <w:jc w:val="right"/>
              <w:textAlignment w:val="auto"/>
              <w:rPr>
                <w:color w:val="000000"/>
              </w:rPr>
            </w:pPr>
            <w:r w:rsidRPr="00BD67DF">
              <w:rPr>
                <w:color w:val="000000"/>
              </w:rPr>
              <w:t>71.1</w:t>
            </w:r>
          </w:p>
        </w:tc>
        <w:tc>
          <w:tcPr>
            <w:tcW w:w="0" w:type="auto"/>
            <w:tcBorders>
              <w:top w:val="nil"/>
              <w:left w:val="nil"/>
              <w:bottom w:val="nil"/>
              <w:right w:val="nil"/>
            </w:tcBorders>
            <w:shd w:val="clear" w:color="auto" w:fill="auto"/>
            <w:noWrap/>
            <w:vAlign w:val="bottom"/>
            <w:hideMark/>
          </w:tcPr>
          <w:p w:rsidR="00BD67DF" w:rsidRPr="00BD67DF" w:rsidRDefault="00F52969" w:rsidP="000769A4">
            <w:pPr>
              <w:overflowPunct/>
              <w:autoSpaceDE/>
              <w:autoSpaceDN/>
              <w:adjustRightInd/>
              <w:ind w:left="-107"/>
              <w:textAlignment w:val="auto"/>
              <w:rPr>
                <w:color w:val="000000"/>
              </w:rPr>
            </w:pPr>
            <w:r>
              <w:rPr>
                <w:color w:val="000000"/>
                <w:vertAlign w:val="superscript"/>
              </w:rPr>
              <w:t>**</w:t>
            </w:r>
          </w:p>
        </w:tc>
        <w:tc>
          <w:tcPr>
            <w:tcW w:w="0" w:type="auto"/>
            <w:tcBorders>
              <w:top w:val="nil"/>
              <w:left w:val="nil"/>
              <w:bottom w:val="nil"/>
              <w:right w:val="nil"/>
            </w:tcBorders>
            <w:shd w:val="clear" w:color="auto" w:fill="auto"/>
            <w:noWrap/>
            <w:vAlign w:val="bottom"/>
            <w:hideMark/>
          </w:tcPr>
          <w:p w:rsidR="00BD67DF" w:rsidRPr="00BD67DF" w:rsidRDefault="00BD67DF" w:rsidP="000769A4">
            <w:pPr>
              <w:overflowPunct/>
              <w:autoSpaceDE/>
              <w:autoSpaceDN/>
              <w:adjustRightInd/>
              <w:ind w:right="-83"/>
              <w:jc w:val="right"/>
              <w:textAlignment w:val="auto"/>
              <w:rPr>
                <w:color w:val="000000"/>
              </w:rPr>
            </w:pPr>
            <w:r w:rsidRPr="00BD67DF">
              <w:rPr>
                <w:color w:val="000000"/>
              </w:rPr>
              <w:t>44.3</w:t>
            </w:r>
          </w:p>
        </w:tc>
        <w:tc>
          <w:tcPr>
            <w:tcW w:w="0" w:type="auto"/>
            <w:tcBorders>
              <w:top w:val="nil"/>
              <w:left w:val="nil"/>
              <w:bottom w:val="nil"/>
              <w:right w:val="nil"/>
            </w:tcBorders>
            <w:shd w:val="clear" w:color="auto" w:fill="auto"/>
            <w:noWrap/>
            <w:vAlign w:val="bottom"/>
            <w:hideMark/>
          </w:tcPr>
          <w:p w:rsidR="00BD67DF" w:rsidRPr="00BD67DF" w:rsidRDefault="00F52969" w:rsidP="000769A4">
            <w:pPr>
              <w:overflowPunct/>
              <w:autoSpaceDE/>
              <w:autoSpaceDN/>
              <w:adjustRightInd/>
              <w:ind w:left="-92"/>
              <w:textAlignment w:val="auto"/>
              <w:rPr>
                <w:color w:val="000000"/>
              </w:rPr>
            </w:pPr>
            <w:r>
              <w:rPr>
                <w:color w:val="000000"/>
                <w:vertAlign w:val="superscript"/>
              </w:rPr>
              <w:t>**</w:t>
            </w:r>
          </w:p>
        </w:tc>
      </w:tr>
      <w:tr w:rsidR="00BD67DF" w:rsidRPr="00BD67DF" w:rsidTr="00BD67DF">
        <w:trPr>
          <w:trHeight w:val="20"/>
        </w:trPr>
        <w:tc>
          <w:tcPr>
            <w:tcW w:w="0" w:type="auto"/>
            <w:tcBorders>
              <w:top w:val="nil"/>
              <w:left w:val="nil"/>
              <w:bottom w:val="nil"/>
              <w:right w:val="nil"/>
            </w:tcBorders>
            <w:shd w:val="clear" w:color="auto" w:fill="auto"/>
            <w:noWrap/>
            <w:vAlign w:val="bottom"/>
            <w:hideMark/>
          </w:tcPr>
          <w:p w:rsidR="00BD67DF" w:rsidRPr="00BD67DF" w:rsidRDefault="00BD67DF" w:rsidP="00BD67DF">
            <w:pPr>
              <w:overflowPunct/>
              <w:autoSpaceDE/>
              <w:autoSpaceDN/>
              <w:adjustRightInd/>
              <w:jc w:val="right"/>
              <w:textAlignment w:val="auto"/>
              <w:rPr>
                <w:color w:val="000000"/>
              </w:rPr>
            </w:pPr>
            <w:r w:rsidRPr="00BD67DF">
              <w:rPr>
                <w:color w:val="000000"/>
              </w:rPr>
              <w:t>1</w:t>
            </w:r>
          </w:p>
        </w:tc>
        <w:tc>
          <w:tcPr>
            <w:tcW w:w="0" w:type="auto"/>
            <w:tcBorders>
              <w:top w:val="nil"/>
              <w:left w:val="nil"/>
              <w:bottom w:val="nil"/>
              <w:right w:val="nil"/>
            </w:tcBorders>
            <w:shd w:val="clear" w:color="auto" w:fill="auto"/>
            <w:noWrap/>
            <w:vAlign w:val="bottom"/>
            <w:hideMark/>
          </w:tcPr>
          <w:p w:rsidR="00BD67DF" w:rsidRPr="00BD67DF" w:rsidRDefault="00BD67DF" w:rsidP="000769A4">
            <w:pPr>
              <w:overflowPunct/>
              <w:autoSpaceDE/>
              <w:autoSpaceDN/>
              <w:adjustRightInd/>
              <w:ind w:right="-66"/>
              <w:jc w:val="right"/>
              <w:textAlignment w:val="auto"/>
              <w:rPr>
                <w:color w:val="000000"/>
              </w:rPr>
            </w:pPr>
            <w:r w:rsidRPr="00BD67DF">
              <w:rPr>
                <w:color w:val="000000"/>
              </w:rPr>
              <w:t>55.4</w:t>
            </w:r>
          </w:p>
        </w:tc>
        <w:tc>
          <w:tcPr>
            <w:tcW w:w="0" w:type="auto"/>
            <w:tcBorders>
              <w:top w:val="nil"/>
              <w:left w:val="nil"/>
              <w:bottom w:val="nil"/>
              <w:right w:val="nil"/>
            </w:tcBorders>
            <w:shd w:val="clear" w:color="auto" w:fill="auto"/>
            <w:noWrap/>
            <w:vAlign w:val="bottom"/>
            <w:hideMark/>
          </w:tcPr>
          <w:p w:rsidR="00BD67DF" w:rsidRPr="00BD67DF" w:rsidRDefault="00BD67DF" w:rsidP="00F52969">
            <w:pPr>
              <w:overflowPunct/>
              <w:autoSpaceDE/>
              <w:autoSpaceDN/>
              <w:adjustRightInd/>
              <w:ind w:left="-122"/>
              <w:textAlignment w:val="auto"/>
              <w:rPr>
                <w:color w:val="000000"/>
              </w:rPr>
            </w:pPr>
            <w:r w:rsidRPr="00BD67DF">
              <w:rPr>
                <w:color w:val="000000"/>
                <w:vertAlign w:val="superscript"/>
              </w:rPr>
              <w:t>**</w:t>
            </w:r>
          </w:p>
        </w:tc>
        <w:tc>
          <w:tcPr>
            <w:tcW w:w="0" w:type="auto"/>
            <w:tcBorders>
              <w:top w:val="nil"/>
              <w:left w:val="nil"/>
              <w:bottom w:val="nil"/>
              <w:right w:val="nil"/>
            </w:tcBorders>
            <w:shd w:val="clear" w:color="auto" w:fill="auto"/>
            <w:noWrap/>
            <w:vAlign w:val="bottom"/>
            <w:hideMark/>
          </w:tcPr>
          <w:p w:rsidR="00BD67DF" w:rsidRPr="00BD67DF" w:rsidRDefault="00BD67DF" w:rsidP="000769A4">
            <w:pPr>
              <w:overflowPunct/>
              <w:autoSpaceDE/>
              <w:autoSpaceDN/>
              <w:adjustRightInd/>
              <w:ind w:right="-61"/>
              <w:jc w:val="right"/>
              <w:textAlignment w:val="auto"/>
              <w:rPr>
                <w:color w:val="000000"/>
              </w:rPr>
            </w:pPr>
            <w:r w:rsidRPr="00BD67DF">
              <w:rPr>
                <w:color w:val="000000"/>
              </w:rPr>
              <w:t>14.5</w:t>
            </w:r>
          </w:p>
        </w:tc>
        <w:tc>
          <w:tcPr>
            <w:tcW w:w="0" w:type="auto"/>
            <w:tcBorders>
              <w:top w:val="nil"/>
              <w:left w:val="nil"/>
              <w:bottom w:val="nil"/>
              <w:right w:val="nil"/>
            </w:tcBorders>
            <w:shd w:val="clear" w:color="auto" w:fill="auto"/>
            <w:noWrap/>
            <w:vAlign w:val="bottom"/>
            <w:hideMark/>
          </w:tcPr>
          <w:p w:rsidR="00BD67DF" w:rsidRPr="00BD67DF" w:rsidRDefault="00BD67DF" w:rsidP="000769A4">
            <w:pPr>
              <w:overflowPunct/>
              <w:autoSpaceDE/>
              <w:autoSpaceDN/>
              <w:adjustRightInd/>
              <w:ind w:left="-107"/>
              <w:textAlignment w:val="auto"/>
              <w:rPr>
                <w:color w:val="000000"/>
              </w:rPr>
            </w:pPr>
          </w:p>
        </w:tc>
        <w:tc>
          <w:tcPr>
            <w:tcW w:w="0" w:type="auto"/>
            <w:tcBorders>
              <w:top w:val="nil"/>
              <w:left w:val="nil"/>
              <w:bottom w:val="nil"/>
              <w:right w:val="nil"/>
            </w:tcBorders>
            <w:shd w:val="clear" w:color="auto" w:fill="auto"/>
            <w:noWrap/>
            <w:vAlign w:val="bottom"/>
            <w:hideMark/>
          </w:tcPr>
          <w:p w:rsidR="00BD67DF" w:rsidRPr="00BD67DF" w:rsidRDefault="00BD67DF" w:rsidP="000769A4">
            <w:pPr>
              <w:overflowPunct/>
              <w:autoSpaceDE/>
              <w:autoSpaceDN/>
              <w:adjustRightInd/>
              <w:ind w:right="-83"/>
              <w:jc w:val="right"/>
              <w:textAlignment w:val="auto"/>
              <w:rPr>
                <w:color w:val="000000"/>
              </w:rPr>
            </w:pPr>
            <w:r w:rsidRPr="00BD67DF">
              <w:rPr>
                <w:color w:val="000000"/>
              </w:rPr>
              <w:t>1.6</w:t>
            </w:r>
          </w:p>
        </w:tc>
        <w:tc>
          <w:tcPr>
            <w:tcW w:w="0" w:type="auto"/>
            <w:tcBorders>
              <w:top w:val="nil"/>
              <w:left w:val="nil"/>
              <w:bottom w:val="nil"/>
              <w:right w:val="nil"/>
            </w:tcBorders>
            <w:shd w:val="clear" w:color="auto" w:fill="auto"/>
            <w:noWrap/>
            <w:vAlign w:val="bottom"/>
            <w:hideMark/>
          </w:tcPr>
          <w:p w:rsidR="00BD67DF" w:rsidRPr="00BD67DF" w:rsidRDefault="00BD67DF" w:rsidP="000769A4">
            <w:pPr>
              <w:overflowPunct/>
              <w:autoSpaceDE/>
              <w:autoSpaceDN/>
              <w:adjustRightInd/>
              <w:ind w:left="-92"/>
              <w:textAlignment w:val="auto"/>
              <w:rPr>
                <w:color w:val="000000"/>
              </w:rPr>
            </w:pPr>
          </w:p>
        </w:tc>
      </w:tr>
      <w:tr w:rsidR="00BD67DF" w:rsidRPr="00BD67DF" w:rsidTr="00BD67DF">
        <w:trPr>
          <w:trHeight w:val="20"/>
        </w:trPr>
        <w:tc>
          <w:tcPr>
            <w:tcW w:w="0" w:type="auto"/>
            <w:tcBorders>
              <w:top w:val="nil"/>
              <w:left w:val="nil"/>
              <w:right w:val="nil"/>
            </w:tcBorders>
            <w:shd w:val="clear" w:color="auto" w:fill="auto"/>
            <w:noWrap/>
            <w:vAlign w:val="bottom"/>
            <w:hideMark/>
          </w:tcPr>
          <w:p w:rsidR="00BD67DF" w:rsidRPr="00BD67DF" w:rsidRDefault="00BD67DF" w:rsidP="00BD67DF">
            <w:pPr>
              <w:overflowPunct/>
              <w:autoSpaceDE/>
              <w:autoSpaceDN/>
              <w:adjustRightInd/>
              <w:jc w:val="right"/>
              <w:textAlignment w:val="auto"/>
              <w:rPr>
                <w:color w:val="000000"/>
              </w:rPr>
            </w:pPr>
            <w:r w:rsidRPr="00BD67DF">
              <w:rPr>
                <w:color w:val="000000"/>
              </w:rPr>
              <w:t>2</w:t>
            </w:r>
          </w:p>
        </w:tc>
        <w:tc>
          <w:tcPr>
            <w:tcW w:w="0" w:type="auto"/>
            <w:tcBorders>
              <w:top w:val="nil"/>
              <w:left w:val="nil"/>
              <w:right w:val="nil"/>
            </w:tcBorders>
            <w:shd w:val="clear" w:color="auto" w:fill="auto"/>
            <w:noWrap/>
            <w:vAlign w:val="bottom"/>
            <w:hideMark/>
          </w:tcPr>
          <w:p w:rsidR="00BD67DF" w:rsidRPr="00BD67DF" w:rsidRDefault="00BD67DF" w:rsidP="000769A4">
            <w:pPr>
              <w:overflowPunct/>
              <w:autoSpaceDE/>
              <w:autoSpaceDN/>
              <w:adjustRightInd/>
              <w:ind w:right="-66"/>
              <w:jc w:val="right"/>
              <w:textAlignment w:val="auto"/>
              <w:rPr>
                <w:color w:val="000000"/>
              </w:rPr>
            </w:pPr>
            <w:r w:rsidRPr="00BD67DF">
              <w:rPr>
                <w:color w:val="000000"/>
              </w:rPr>
              <w:t>14.7</w:t>
            </w:r>
          </w:p>
        </w:tc>
        <w:tc>
          <w:tcPr>
            <w:tcW w:w="0" w:type="auto"/>
            <w:tcBorders>
              <w:top w:val="nil"/>
              <w:left w:val="nil"/>
              <w:right w:val="nil"/>
            </w:tcBorders>
            <w:shd w:val="clear" w:color="auto" w:fill="auto"/>
            <w:noWrap/>
            <w:vAlign w:val="bottom"/>
            <w:hideMark/>
          </w:tcPr>
          <w:p w:rsidR="00BD67DF" w:rsidRPr="00BD67DF" w:rsidRDefault="00BD67DF" w:rsidP="00BD67DF">
            <w:pPr>
              <w:overflowPunct/>
              <w:autoSpaceDE/>
              <w:autoSpaceDN/>
              <w:adjustRightInd/>
              <w:textAlignment w:val="auto"/>
              <w:rPr>
                <w:color w:val="000000"/>
              </w:rPr>
            </w:pPr>
          </w:p>
        </w:tc>
        <w:tc>
          <w:tcPr>
            <w:tcW w:w="0" w:type="auto"/>
            <w:tcBorders>
              <w:top w:val="nil"/>
              <w:left w:val="nil"/>
              <w:right w:val="nil"/>
            </w:tcBorders>
            <w:shd w:val="clear" w:color="auto" w:fill="auto"/>
            <w:noWrap/>
            <w:vAlign w:val="bottom"/>
            <w:hideMark/>
          </w:tcPr>
          <w:p w:rsidR="00BD67DF" w:rsidRPr="00BD67DF" w:rsidRDefault="00BD67DF" w:rsidP="000769A4">
            <w:pPr>
              <w:overflowPunct/>
              <w:autoSpaceDE/>
              <w:autoSpaceDN/>
              <w:adjustRightInd/>
              <w:ind w:right="-61"/>
              <w:jc w:val="right"/>
              <w:textAlignment w:val="auto"/>
              <w:rPr>
                <w:color w:val="000000"/>
              </w:rPr>
            </w:pPr>
            <w:r w:rsidRPr="00BD67DF">
              <w:rPr>
                <w:color w:val="000000"/>
              </w:rPr>
              <w:t>1.2</w:t>
            </w:r>
          </w:p>
        </w:tc>
        <w:tc>
          <w:tcPr>
            <w:tcW w:w="0" w:type="auto"/>
            <w:tcBorders>
              <w:top w:val="nil"/>
              <w:left w:val="nil"/>
              <w:right w:val="nil"/>
            </w:tcBorders>
            <w:shd w:val="clear" w:color="auto" w:fill="auto"/>
            <w:noWrap/>
            <w:vAlign w:val="bottom"/>
            <w:hideMark/>
          </w:tcPr>
          <w:p w:rsidR="00BD67DF" w:rsidRPr="00BD67DF" w:rsidRDefault="00BD67DF" w:rsidP="00BD67DF">
            <w:pPr>
              <w:overflowPunct/>
              <w:autoSpaceDE/>
              <w:autoSpaceDN/>
              <w:adjustRightInd/>
              <w:textAlignment w:val="auto"/>
              <w:rPr>
                <w:color w:val="000000"/>
              </w:rPr>
            </w:pPr>
          </w:p>
        </w:tc>
        <w:tc>
          <w:tcPr>
            <w:tcW w:w="0" w:type="auto"/>
            <w:tcBorders>
              <w:top w:val="nil"/>
              <w:left w:val="nil"/>
              <w:right w:val="nil"/>
            </w:tcBorders>
            <w:shd w:val="clear" w:color="auto" w:fill="auto"/>
            <w:noWrap/>
            <w:vAlign w:val="bottom"/>
            <w:hideMark/>
          </w:tcPr>
          <w:p w:rsidR="00BD67DF" w:rsidRPr="00BD67DF" w:rsidRDefault="00BD67DF" w:rsidP="000769A4">
            <w:pPr>
              <w:overflowPunct/>
              <w:autoSpaceDE/>
              <w:autoSpaceDN/>
              <w:adjustRightInd/>
              <w:ind w:right="-83"/>
              <w:textAlignment w:val="auto"/>
              <w:rPr>
                <w:color w:val="000000"/>
              </w:rPr>
            </w:pPr>
          </w:p>
        </w:tc>
        <w:tc>
          <w:tcPr>
            <w:tcW w:w="0" w:type="auto"/>
            <w:tcBorders>
              <w:top w:val="nil"/>
              <w:left w:val="nil"/>
              <w:right w:val="nil"/>
            </w:tcBorders>
            <w:shd w:val="clear" w:color="auto" w:fill="auto"/>
            <w:noWrap/>
            <w:vAlign w:val="bottom"/>
            <w:hideMark/>
          </w:tcPr>
          <w:p w:rsidR="00BD67DF" w:rsidRPr="00BD67DF" w:rsidRDefault="00BD67DF" w:rsidP="00BD67DF">
            <w:pPr>
              <w:overflowPunct/>
              <w:autoSpaceDE/>
              <w:autoSpaceDN/>
              <w:adjustRightInd/>
              <w:textAlignment w:val="auto"/>
              <w:rPr>
                <w:color w:val="000000"/>
              </w:rPr>
            </w:pPr>
          </w:p>
        </w:tc>
      </w:tr>
      <w:tr w:rsidR="00BD67DF" w:rsidRPr="00BD67DF" w:rsidTr="00BD67DF">
        <w:trPr>
          <w:trHeight w:val="20"/>
        </w:trPr>
        <w:tc>
          <w:tcPr>
            <w:tcW w:w="0" w:type="auto"/>
            <w:tcBorders>
              <w:top w:val="nil"/>
              <w:left w:val="nil"/>
              <w:bottom w:val="single" w:sz="12" w:space="0" w:color="auto"/>
              <w:right w:val="nil"/>
            </w:tcBorders>
            <w:shd w:val="clear" w:color="auto" w:fill="auto"/>
            <w:noWrap/>
            <w:vAlign w:val="bottom"/>
            <w:hideMark/>
          </w:tcPr>
          <w:p w:rsidR="00BD67DF" w:rsidRPr="00BD67DF" w:rsidRDefault="00BD67DF" w:rsidP="00BD67DF">
            <w:pPr>
              <w:overflowPunct/>
              <w:autoSpaceDE/>
              <w:autoSpaceDN/>
              <w:adjustRightInd/>
              <w:spacing w:after="80"/>
              <w:jc w:val="right"/>
              <w:textAlignment w:val="auto"/>
              <w:rPr>
                <w:color w:val="000000"/>
              </w:rPr>
            </w:pPr>
            <w:r w:rsidRPr="00BD67DF">
              <w:rPr>
                <w:color w:val="000000"/>
              </w:rPr>
              <w:t>3</w:t>
            </w:r>
          </w:p>
        </w:tc>
        <w:tc>
          <w:tcPr>
            <w:tcW w:w="0" w:type="auto"/>
            <w:tcBorders>
              <w:top w:val="nil"/>
              <w:left w:val="nil"/>
              <w:bottom w:val="single" w:sz="12" w:space="0" w:color="auto"/>
              <w:right w:val="nil"/>
            </w:tcBorders>
            <w:shd w:val="clear" w:color="auto" w:fill="auto"/>
            <w:noWrap/>
            <w:vAlign w:val="bottom"/>
            <w:hideMark/>
          </w:tcPr>
          <w:p w:rsidR="00BD67DF" w:rsidRPr="00BD67DF" w:rsidRDefault="00BD67DF" w:rsidP="000769A4">
            <w:pPr>
              <w:overflowPunct/>
              <w:autoSpaceDE/>
              <w:autoSpaceDN/>
              <w:adjustRightInd/>
              <w:spacing w:after="80"/>
              <w:ind w:right="-66"/>
              <w:jc w:val="right"/>
              <w:textAlignment w:val="auto"/>
              <w:rPr>
                <w:color w:val="000000"/>
              </w:rPr>
            </w:pPr>
            <w:r w:rsidRPr="00BD67DF">
              <w:rPr>
                <w:color w:val="000000"/>
              </w:rPr>
              <w:t>1.3</w:t>
            </w:r>
          </w:p>
        </w:tc>
        <w:tc>
          <w:tcPr>
            <w:tcW w:w="0" w:type="auto"/>
            <w:tcBorders>
              <w:top w:val="nil"/>
              <w:left w:val="nil"/>
              <w:bottom w:val="single" w:sz="12" w:space="0" w:color="auto"/>
              <w:right w:val="nil"/>
            </w:tcBorders>
            <w:shd w:val="clear" w:color="auto" w:fill="auto"/>
            <w:noWrap/>
            <w:vAlign w:val="bottom"/>
            <w:hideMark/>
          </w:tcPr>
          <w:p w:rsidR="00BD67DF" w:rsidRPr="00BD67DF" w:rsidRDefault="00BD67DF" w:rsidP="00BD67DF">
            <w:pPr>
              <w:overflowPunct/>
              <w:autoSpaceDE/>
              <w:autoSpaceDN/>
              <w:adjustRightInd/>
              <w:spacing w:after="80"/>
              <w:textAlignment w:val="auto"/>
              <w:rPr>
                <w:color w:val="000000"/>
              </w:rPr>
            </w:pPr>
          </w:p>
        </w:tc>
        <w:tc>
          <w:tcPr>
            <w:tcW w:w="0" w:type="auto"/>
            <w:tcBorders>
              <w:top w:val="nil"/>
              <w:left w:val="nil"/>
              <w:bottom w:val="single" w:sz="12" w:space="0" w:color="auto"/>
              <w:right w:val="nil"/>
            </w:tcBorders>
            <w:shd w:val="clear" w:color="auto" w:fill="auto"/>
            <w:noWrap/>
            <w:vAlign w:val="bottom"/>
            <w:hideMark/>
          </w:tcPr>
          <w:p w:rsidR="00BD67DF" w:rsidRPr="00BD67DF" w:rsidRDefault="00BD67DF" w:rsidP="000769A4">
            <w:pPr>
              <w:overflowPunct/>
              <w:autoSpaceDE/>
              <w:autoSpaceDN/>
              <w:adjustRightInd/>
              <w:spacing w:after="80"/>
              <w:ind w:right="-61"/>
              <w:textAlignment w:val="auto"/>
              <w:rPr>
                <w:color w:val="000000"/>
              </w:rPr>
            </w:pPr>
          </w:p>
        </w:tc>
        <w:tc>
          <w:tcPr>
            <w:tcW w:w="0" w:type="auto"/>
            <w:tcBorders>
              <w:top w:val="nil"/>
              <w:left w:val="nil"/>
              <w:bottom w:val="single" w:sz="12" w:space="0" w:color="auto"/>
              <w:right w:val="nil"/>
            </w:tcBorders>
            <w:shd w:val="clear" w:color="auto" w:fill="auto"/>
            <w:noWrap/>
            <w:vAlign w:val="bottom"/>
            <w:hideMark/>
          </w:tcPr>
          <w:p w:rsidR="00BD67DF" w:rsidRPr="00BD67DF" w:rsidRDefault="00BD67DF" w:rsidP="00BD67DF">
            <w:pPr>
              <w:overflowPunct/>
              <w:autoSpaceDE/>
              <w:autoSpaceDN/>
              <w:adjustRightInd/>
              <w:spacing w:after="80"/>
              <w:textAlignment w:val="auto"/>
              <w:rPr>
                <w:color w:val="000000"/>
              </w:rPr>
            </w:pPr>
          </w:p>
        </w:tc>
        <w:tc>
          <w:tcPr>
            <w:tcW w:w="0" w:type="auto"/>
            <w:tcBorders>
              <w:top w:val="nil"/>
              <w:left w:val="nil"/>
              <w:bottom w:val="single" w:sz="12" w:space="0" w:color="auto"/>
              <w:right w:val="nil"/>
            </w:tcBorders>
            <w:shd w:val="clear" w:color="auto" w:fill="auto"/>
            <w:noWrap/>
            <w:vAlign w:val="bottom"/>
            <w:hideMark/>
          </w:tcPr>
          <w:p w:rsidR="00BD67DF" w:rsidRPr="00BD67DF" w:rsidRDefault="00BD67DF" w:rsidP="00BD67DF">
            <w:pPr>
              <w:overflowPunct/>
              <w:autoSpaceDE/>
              <w:autoSpaceDN/>
              <w:adjustRightInd/>
              <w:spacing w:after="80"/>
              <w:textAlignment w:val="auto"/>
              <w:rPr>
                <w:color w:val="000000"/>
              </w:rPr>
            </w:pPr>
          </w:p>
        </w:tc>
        <w:tc>
          <w:tcPr>
            <w:tcW w:w="0" w:type="auto"/>
            <w:tcBorders>
              <w:top w:val="nil"/>
              <w:left w:val="nil"/>
              <w:bottom w:val="single" w:sz="12" w:space="0" w:color="auto"/>
              <w:right w:val="nil"/>
            </w:tcBorders>
            <w:shd w:val="clear" w:color="auto" w:fill="auto"/>
            <w:noWrap/>
            <w:vAlign w:val="bottom"/>
            <w:hideMark/>
          </w:tcPr>
          <w:p w:rsidR="00BD67DF" w:rsidRPr="00BD67DF" w:rsidRDefault="00BD67DF" w:rsidP="00BD67DF">
            <w:pPr>
              <w:overflowPunct/>
              <w:autoSpaceDE/>
              <w:autoSpaceDN/>
              <w:adjustRightInd/>
              <w:spacing w:after="80"/>
              <w:textAlignment w:val="auto"/>
              <w:rPr>
                <w:color w:val="000000"/>
              </w:rPr>
            </w:pPr>
          </w:p>
        </w:tc>
      </w:tr>
      <w:tr w:rsidR="00BD67DF" w:rsidRPr="00BD67DF" w:rsidTr="00BD67DF">
        <w:trPr>
          <w:trHeight w:val="20"/>
        </w:trPr>
        <w:tc>
          <w:tcPr>
            <w:tcW w:w="0" w:type="auto"/>
            <w:gridSpan w:val="7"/>
            <w:tcBorders>
              <w:top w:val="single" w:sz="12" w:space="0" w:color="auto"/>
              <w:left w:val="nil"/>
              <w:bottom w:val="nil"/>
              <w:right w:val="nil"/>
            </w:tcBorders>
            <w:shd w:val="clear" w:color="auto" w:fill="auto"/>
            <w:noWrap/>
            <w:vAlign w:val="bottom"/>
            <w:hideMark/>
          </w:tcPr>
          <w:p w:rsidR="00BD67DF" w:rsidRPr="00BD67DF" w:rsidRDefault="00BD67DF" w:rsidP="00C902DA">
            <w:pPr>
              <w:overflowPunct/>
              <w:autoSpaceDE/>
              <w:autoSpaceDN/>
              <w:adjustRightInd/>
              <w:spacing w:before="80" w:after="60"/>
              <w:textAlignment w:val="auto"/>
              <w:rPr>
                <w:color w:val="000000"/>
              </w:rPr>
            </w:pPr>
            <w:r w:rsidRPr="00BD67DF">
              <w:rPr>
                <w:b/>
                <w:bCs/>
                <w:color w:val="000000"/>
              </w:rPr>
              <w:t xml:space="preserve">Panel C. </w:t>
            </w:r>
            <w:r w:rsidR="001F61F1">
              <w:rPr>
                <w:color w:val="000000"/>
              </w:rPr>
              <w:t>Weak e</w:t>
            </w:r>
            <w:r w:rsidRPr="00BD67DF">
              <w:rPr>
                <w:color w:val="000000"/>
              </w:rPr>
              <w:t xml:space="preserve">xogeneity </w:t>
            </w:r>
            <w:r w:rsidR="001F61F1">
              <w:rPr>
                <w:color w:val="000000"/>
              </w:rPr>
              <w:t>t</w:t>
            </w:r>
            <w:r w:rsidRPr="00BD67DF">
              <w:rPr>
                <w:color w:val="000000"/>
              </w:rPr>
              <w:t>est</w:t>
            </w:r>
            <w:r w:rsidR="001F61F1">
              <w:rPr>
                <w:color w:val="000000"/>
              </w:rPr>
              <w:t>s</w:t>
            </w:r>
          </w:p>
        </w:tc>
      </w:tr>
      <w:tr w:rsidR="000E19B9" w:rsidRPr="00BD67DF" w:rsidTr="00BD67DF">
        <w:trPr>
          <w:trHeight w:val="20"/>
        </w:trPr>
        <w:tc>
          <w:tcPr>
            <w:tcW w:w="0" w:type="auto"/>
            <w:tcBorders>
              <w:top w:val="nil"/>
              <w:left w:val="nil"/>
              <w:bottom w:val="double" w:sz="6" w:space="0" w:color="auto"/>
              <w:right w:val="nil"/>
            </w:tcBorders>
            <w:shd w:val="clear" w:color="auto" w:fill="auto"/>
            <w:noWrap/>
            <w:vAlign w:val="bottom"/>
            <w:hideMark/>
          </w:tcPr>
          <w:p w:rsidR="000E19B9" w:rsidRPr="00BD67DF" w:rsidRDefault="000E19B9" w:rsidP="00BD67DF">
            <w:pPr>
              <w:overflowPunct/>
              <w:autoSpaceDE/>
              <w:autoSpaceDN/>
              <w:adjustRightInd/>
              <w:jc w:val="right"/>
              <w:textAlignment w:val="auto"/>
              <w:rPr>
                <w:color w:val="000000"/>
              </w:rPr>
            </w:pPr>
            <w:r w:rsidRPr="00BD67DF">
              <w:rPr>
                <w:color w:val="000000"/>
              </w:rPr>
              <w:t>Set:</w:t>
            </w:r>
          </w:p>
        </w:tc>
        <w:tc>
          <w:tcPr>
            <w:tcW w:w="0" w:type="auto"/>
            <w:gridSpan w:val="2"/>
            <w:tcBorders>
              <w:top w:val="nil"/>
              <w:left w:val="nil"/>
              <w:bottom w:val="double" w:sz="6" w:space="0" w:color="auto"/>
              <w:right w:val="nil"/>
            </w:tcBorders>
            <w:shd w:val="clear" w:color="auto" w:fill="auto"/>
            <w:noWrap/>
            <w:vAlign w:val="bottom"/>
            <w:hideMark/>
          </w:tcPr>
          <w:p w:rsidR="000E19B9" w:rsidRPr="00BD67DF" w:rsidRDefault="000E19B9" w:rsidP="00544587">
            <w:pPr>
              <w:overflowPunct/>
              <w:autoSpaceDE/>
              <w:autoSpaceDN/>
              <w:adjustRightInd/>
              <w:jc w:val="center"/>
              <w:textAlignment w:val="auto"/>
              <w:rPr>
                <w:b/>
                <w:color w:val="000000"/>
              </w:rPr>
            </w:pPr>
            <w:r w:rsidRPr="00BD67DF">
              <w:rPr>
                <w:b/>
                <w:color w:val="000000"/>
              </w:rPr>
              <w:t>{</w:t>
            </w:r>
            <w:r>
              <w:rPr>
                <w:b/>
                <w:color w:val="000000"/>
              </w:rPr>
              <w:t xml:space="preserve"> </w:t>
            </w:r>
            <w:r w:rsidRPr="00BD67DF">
              <w:rPr>
                <w:b/>
                <w:i/>
                <w:iCs/>
                <w:color w:val="000000"/>
              </w:rPr>
              <w:t>y</w:t>
            </w:r>
            <w:r w:rsidRPr="00BD67DF">
              <w:rPr>
                <w:b/>
                <w:color w:val="000000"/>
              </w:rPr>
              <w:t>,</w:t>
            </w:r>
            <w:r>
              <w:rPr>
                <w:b/>
                <w:color w:val="000000"/>
              </w:rPr>
              <w:t xml:space="preserve"> </w:t>
            </w:r>
            <w:r w:rsidRPr="00BD67DF">
              <w:rPr>
                <w:b/>
                <w:i/>
                <w:iCs/>
                <w:color w:val="000000"/>
              </w:rPr>
              <w:t>c</w:t>
            </w:r>
            <w:r w:rsidRPr="00BD67DF">
              <w:rPr>
                <w:b/>
                <w:color w:val="000000"/>
              </w:rPr>
              <w:t>,</w:t>
            </w:r>
            <w:r>
              <w:rPr>
                <w:b/>
                <w:color w:val="000000"/>
              </w:rPr>
              <w:t xml:space="preserve"> </w:t>
            </w:r>
            <w:r w:rsidRPr="00BD67DF">
              <w:rPr>
                <w:b/>
                <w:i/>
                <w:iCs/>
                <w:color w:val="000000"/>
              </w:rPr>
              <w:t>z</w:t>
            </w:r>
            <w:r w:rsidRPr="00BD67DF">
              <w:rPr>
                <w:b/>
                <w:color w:val="000000"/>
              </w:rPr>
              <w:t>,</w:t>
            </w:r>
            <w:r>
              <w:rPr>
                <w:b/>
                <w:color w:val="000000"/>
              </w:rPr>
              <w:t xml:space="preserve"> </w:t>
            </w:r>
            <w:r w:rsidRPr="00BD67DF">
              <w:rPr>
                <w:b/>
                <w:i/>
                <w:iCs/>
                <w:color w:val="000000"/>
              </w:rPr>
              <w:t>v</w:t>
            </w:r>
            <w:r>
              <w:rPr>
                <w:b/>
                <w:i/>
                <w:iCs/>
                <w:color w:val="000000"/>
              </w:rPr>
              <w:t xml:space="preserve"> </w:t>
            </w:r>
            <w:r w:rsidRPr="00BD67DF">
              <w:rPr>
                <w:b/>
                <w:color w:val="000000"/>
              </w:rPr>
              <w:t>}</w:t>
            </w:r>
          </w:p>
        </w:tc>
        <w:tc>
          <w:tcPr>
            <w:tcW w:w="0" w:type="auto"/>
            <w:gridSpan w:val="2"/>
            <w:tcBorders>
              <w:top w:val="nil"/>
              <w:left w:val="nil"/>
              <w:bottom w:val="double" w:sz="6" w:space="0" w:color="auto"/>
              <w:right w:val="nil"/>
            </w:tcBorders>
            <w:shd w:val="clear" w:color="auto" w:fill="auto"/>
            <w:noWrap/>
            <w:vAlign w:val="bottom"/>
            <w:hideMark/>
          </w:tcPr>
          <w:p w:rsidR="000E19B9" w:rsidRPr="00BD67DF" w:rsidRDefault="000E19B9" w:rsidP="00544587">
            <w:pPr>
              <w:overflowPunct/>
              <w:autoSpaceDE/>
              <w:autoSpaceDN/>
              <w:adjustRightInd/>
              <w:jc w:val="center"/>
              <w:textAlignment w:val="auto"/>
              <w:rPr>
                <w:b/>
                <w:color w:val="000000"/>
              </w:rPr>
            </w:pPr>
            <w:r w:rsidRPr="00BD67DF">
              <w:rPr>
                <w:b/>
                <w:color w:val="000000"/>
              </w:rPr>
              <w:t>{</w:t>
            </w:r>
            <w:r>
              <w:rPr>
                <w:b/>
                <w:color w:val="000000"/>
              </w:rPr>
              <w:t xml:space="preserve"> </w:t>
            </w:r>
            <w:r w:rsidRPr="00BD67DF">
              <w:rPr>
                <w:b/>
                <w:i/>
                <w:iCs/>
                <w:color w:val="000000"/>
              </w:rPr>
              <w:t>y</w:t>
            </w:r>
            <w:r w:rsidRPr="00BD67DF">
              <w:rPr>
                <w:b/>
                <w:color w:val="000000"/>
              </w:rPr>
              <w:t>,</w:t>
            </w:r>
            <w:r>
              <w:rPr>
                <w:b/>
                <w:color w:val="000000"/>
              </w:rPr>
              <w:t xml:space="preserve"> </w:t>
            </w:r>
            <w:r w:rsidRPr="00BD67DF">
              <w:rPr>
                <w:b/>
                <w:i/>
                <w:iCs/>
                <w:color w:val="000000"/>
              </w:rPr>
              <w:t>c</w:t>
            </w:r>
            <w:r w:rsidRPr="00BD67DF">
              <w:rPr>
                <w:b/>
                <w:color w:val="000000"/>
              </w:rPr>
              <w:t>,</w:t>
            </w:r>
            <w:r>
              <w:rPr>
                <w:b/>
                <w:color w:val="000000"/>
              </w:rPr>
              <w:t xml:space="preserve"> </w:t>
            </w:r>
            <w:r w:rsidRPr="00BD67DF">
              <w:rPr>
                <w:b/>
                <w:i/>
                <w:iCs/>
                <w:color w:val="000000"/>
              </w:rPr>
              <w:t>z</w:t>
            </w:r>
            <w:r>
              <w:rPr>
                <w:b/>
                <w:i/>
                <w:iCs/>
                <w:color w:val="000000"/>
              </w:rPr>
              <w:t xml:space="preserve"> </w:t>
            </w:r>
            <w:r w:rsidRPr="00BD67DF">
              <w:rPr>
                <w:b/>
                <w:color w:val="000000"/>
              </w:rPr>
              <w:t>}</w:t>
            </w:r>
          </w:p>
        </w:tc>
        <w:tc>
          <w:tcPr>
            <w:tcW w:w="0" w:type="auto"/>
            <w:gridSpan w:val="2"/>
            <w:tcBorders>
              <w:top w:val="nil"/>
              <w:left w:val="nil"/>
              <w:bottom w:val="double" w:sz="6" w:space="0" w:color="auto"/>
              <w:right w:val="nil"/>
            </w:tcBorders>
            <w:shd w:val="clear" w:color="auto" w:fill="auto"/>
            <w:noWrap/>
            <w:vAlign w:val="bottom"/>
            <w:hideMark/>
          </w:tcPr>
          <w:p w:rsidR="000E19B9" w:rsidRPr="00BD67DF" w:rsidRDefault="000E19B9" w:rsidP="00544587">
            <w:pPr>
              <w:overflowPunct/>
              <w:autoSpaceDE/>
              <w:autoSpaceDN/>
              <w:adjustRightInd/>
              <w:jc w:val="center"/>
              <w:textAlignment w:val="auto"/>
              <w:rPr>
                <w:b/>
                <w:color w:val="000000"/>
              </w:rPr>
            </w:pPr>
            <w:r w:rsidRPr="00BD67DF">
              <w:rPr>
                <w:b/>
                <w:color w:val="000000"/>
              </w:rPr>
              <w:t>{</w:t>
            </w:r>
            <w:r>
              <w:rPr>
                <w:b/>
                <w:color w:val="000000"/>
              </w:rPr>
              <w:t xml:space="preserve"> </w:t>
            </w:r>
            <w:r w:rsidRPr="00BD67DF">
              <w:rPr>
                <w:b/>
                <w:i/>
                <w:iCs/>
                <w:color w:val="000000"/>
              </w:rPr>
              <w:t>y</w:t>
            </w:r>
            <w:r w:rsidRPr="00BD67DF">
              <w:rPr>
                <w:b/>
                <w:color w:val="000000"/>
              </w:rPr>
              <w:t>,</w:t>
            </w:r>
            <w:r>
              <w:rPr>
                <w:b/>
                <w:color w:val="000000"/>
              </w:rPr>
              <w:t xml:space="preserve"> </w:t>
            </w:r>
            <w:r w:rsidRPr="00BD67DF">
              <w:rPr>
                <w:b/>
                <w:i/>
                <w:iCs/>
                <w:color w:val="000000"/>
              </w:rPr>
              <w:t>c</w:t>
            </w:r>
            <w:r>
              <w:rPr>
                <w:b/>
                <w:i/>
                <w:iCs/>
                <w:color w:val="000000"/>
              </w:rPr>
              <w:t xml:space="preserve"> </w:t>
            </w:r>
            <w:r w:rsidRPr="00BD67DF">
              <w:rPr>
                <w:b/>
                <w:color w:val="000000"/>
              </w:rPr>
              <w:t>}</w:t>
            </w:r>
          </w:p>
        </w:tc>
      </w:tr>
      <w:tr w:rsidR="000E19B9" w:rsidRPr="00BD67DF" w:rsidTr="00BD67DF">
        <w:trPr>
          <w:trHeight w:val="20"/>
        </w:trPr>
        <w:tc>
          <w:tcPr>
            <w:tcW w:w="0" w:type="auto"/>
            <w:tcBorders>
              <w:top w:val="nil"/>
              <w:left w:val="nil"/>
              <w:bottom w:val="nil"/>
              <w:right w:val="nil"/>
            </w:tcBorders>
            <w:shd w:val="clear" w:color="auto" w:fill="auto"/>
            <w:noWrap/>
            <w:vAlign w:val="bottom"/>
            <w:hideMark/>
          </w:tcPr>
          <w:p w:rsidR="000E19B9" w:rsidRPr="00BD67DF" w:rsidRDefault="000E19B9" w:rsidP="00BD67DF">
            <w:pPr>
              <w:overflowPunct/>
              <w:autoSpaceDE/>
              <w:autoSpaceDN/>
              <w:adjustRightInd/>
              <w:textAlignment w:val="auto"/>
              <w:rPr>
                <w:color w:val="000000"/>
              </w:rPr>
            </w:pPr>
            <w:r w:rsidRPr="00BD67DF">
              <w:rPr>
                <w:color w:val="000000"/>
              </w:rPr>
              <w:t xml:space="preserve">Income Returns, </w:t>
            </w:r>
            <w:r w:rsidRPr="00BD67DF">
              <w:rPr>
                <w:i/>
                <w:iCs/>
                <w:color w:val="000000"/>
              </w:rPr>
              <w:t>y</w:t>
            </w:r>
          </w:p>
        </w:tc>
        <w:tc>
          <w:tcPr>
            <w:tcW w:w="0" w:type="auto"/>
            <w:tcBorders>
              <w:top w:val="nil"/>
              <w:left w:val="nil"/>
              <w:bottom w:val="nil"/>
              <w:right w:val="nil"/>
            </w:tcBorders>
            <w:shd w:val="clear" w:color="auto" w:fill="auto"/>
            <w:noWrap/>
            <w:vAlign w:val="bottom"/>
            <w:hideMark/>
          </w:tcPr>
          <w:p w:rsidR="000E19B9" w:rsidRPr="00BD67DF" w:rsidRDefault="000E19B9" w:rsidP="000769A4">
            <w:pPr>
              <w:overflowPunct/>
              <w:autoSpaceDE/>
              <w:autoSpaceDN/>
              <w:adjustRightInd/>
              <w:ind w:right="-24"/>
              <w:jc w:val="right"/>
              <w:textAlignment w:val="auto"/>
              <w:rPr>
                <w:color w:val="000000"/>
              </w:rPr>
            </w:pPr>
            <w:r w:rsidRPr="00BD67DF">
              <w:rPr>
                <w:color w:val="000000"/>
              </w:rPr>
              <w:t>31.7</w:t>
            </w:r>
          </w:p>
        </w:tc>
        <w:tc>
          <w:tcPr>
            <w:tcW w:w="0" w:type="auto"/>
            <w:tcBorders>
              <w:top w:val="nil"/>
              <w:left w:val="nil"/>
              <w:bottom w:val="nil"/>
              <w:right w:val="nil"/>
            </w:tcBorders>
            <w:shd w:val="clear" w:color="auto" w:fill="auto"/>
            <w:noWrap/>
            <w:vAlign w:val="bottom"/>
            <w:hideMark/>
          </w:tcPr>
          <w:p w:rsidR="000E19B9" w:rsidRPr="00BD67DF" w:rsidRDefault="000E19B9" w:rsidP="000769A4">
            <w:pPr>
              <w:overflowPunct/>
              <w:autoSpaceDE/>
              <w:autoSpaceDN/>
              <w:adjustRightInd/>
              <w:ind w:left="-122"/>
              <w:textAlignment w:val="auto"/>
              <w:rPr>
                <w:color w:val="000000"/>
              </w:rPr>
            </w:pPr>
            <w:r w:rsidRPr="00BD67DF">
              <w:rPr>
                <w:color w:val="000000"/>
                <w:vertAlign w:val="superscript"/>
              </w:rPr>
              <w:t>***</w:t>
            </w:r>
          </w:p>
        </w:tc>
        <w:tc>
          <w:tcPr>
            <w:tcW w:w="0" w:type="auto"/>
            <w:tcBorders>
              <w:top w:val="nil"/>
              <w:left w:val="nil"/>
              <w:bottom w:val="nil"/>
              <w:right w:val="nil"/>
            </w:tcBorders>
            <w:shd w:val="clear" w:color="auto" w:fill="auto"/>
            <w:noWrap/>
            <w:vAlign w:val="bottom"/>
            <w:hideMark/>
          </w:tcPr>
          <w:p w:rsidR="000E19B9" w:rsidRPr="00BD67DF" w:rsidRDefault="000E19B9" w:rsidP="000769A4">
            <w:pPr>
              <w:overflowPunct/>
              <w:autoSpaceDE/>
              <w:autoSpaceDN/>
              <w:adjustRightInd/>
              <w:ind w:right="-61"/>
              <w:jc w:val="right"/>
              <w:textAlignment w:val="auto"/>
              <w:rPr>
                <w:color w:val="000000"/>
              </w:rPr>
            </w:pPr>
            <w:r w:rsidRPr="00BD67DF">
              <w:rPr>
                <w:color w:val="000000"/>
              </w:rPr>
              <w:t>31.8</w:t>
            </w:r>
          </w:p>
        </w:tc>
        <w:tc>
          <w:tcPr>
            <w:tcW w:w="0" w:type="auto"/>
            <w:tcBorders>
              <w:top w:val="nil"/>
              <w:left w:val="nil"/>
              <w:bottom w:val="nil"/>
              <w:right w:val="nil"/>
            </w:tcBorders>
            <w:shd w:val="clear" w:color="auto" w:fill="auto"/>
            <w:noWrap/>
            <w:vAlign w:val="bottom"/>
            <w:hideMark/>
          </w:tcPr>
          <w:p w:rsidR="000E19B9" w:rsidRPr="00BD67DF" w:rsidRDefault="000E19B9" w:rsidP="000769A4">
            <w:pPr>
              <w:overflowPunct/>
              <w:autoSpaceDE/>
              <w:autoSpaceDN/>
              <w:adjustRightInd/>
              <w:ind w:left="-107"/>
              <w:textAlignment w:val="auto"/>
              <w:rPr>
                <w:color w:val="000000"/>
              </w:rPr>
            </w:pPr>
            <w:r w:rsidRPr="00BD67DF">
              <w:rPr>
                <w:color w:val="000000"/>
                <w:vertAlign w:val="superscript"/>
              </w:rPr>
              <w:t>***</w:t>
            </w:r>
          </w:p>
        </w:tc>
        <w:tc>
          <w:tcPr>
            <w:tcW w:w="0" w:type="auto"/>
            <w:tcBorders>
              <w:top w:val="nil"/>
              <w:left w:val="nil"/>
              <w:bottom w:val="nil"/>
              <w:right w:val="nil"/>
            </w:tcBorders>
            <w:shd w:val="clear" w:color="auto" w:fill="auto"/>
            <w:noWrap/>
            <w:vAlign w:val="bottom"/>
            <w:hideMark/>
          </w:tcPr>
          <w:p w:rsidR="000E19B9" w:rsidRPr="00BD67DF" w:rsidRDefault="000E19B9" w:rsidP="000769A4">
            <w:pPr>
              <w:overflowPunct/>
              <w:autoSpaceDE/>
              <w:autoSpaceDN/>
              <w:adjustRightInd/>
              <w:ind w:right="-83"/>
              <w:jc w:val="right"/>
              <w:textAlignment w:val="auto"/>
              <w:rPr>
                <w:color w:val="000000"/>
              </w:rPr>
            </w:pPr>
            <w:r w:rsidRPr="00BD67DF">
              <w:rPr>
                <w:color w:val="000000"/>
              </w:rPr>
              <w:t>33.6</w:t>
            </w:r>
          </w:p>
        </w:tc>
        <w:tc>
          <w:tcPr>
            <w:tcW w:w="0" w:type="auto"/>
            <w:tcBorders>
              <w:top w:val="nil"/>
              <w:left w:val="nil"/>
              <w:bottom w:val="nil"/>
              <w:right w:val="nil"/>
            </w:tcBorders>
            <w:shd w:val="clear" w:color="auto" w:fill="auto"/>
            <w:noWrap/>
            <w:vAlign w:val="bottom"/>
            <w:hideMark/>
          </w:tcPr>
          <w:p w:rsidR="000E19B9" w:rsidRPr="00BD67DF" w:rsidRDefault="000E19B9" w:rsidP="000769A4">
            <w:pPr>
              <w:overflowPunct/>
              <w:autoSpaceDE/>
              <w:autoSpaceDN/>
              <w:adjustRightInd/>
              <w:ind w:left="-92"/>
              <w:textAlignment w:val="auto"/>
              <w:rPr>
                <w:color w:val="000000"/>
              </w:rPr>
            </w:pPr>
            <w:r w:rsidRPr="00BD67DF">
              <w:rPr>
                <w:color w:val="000000"/>
                <w:vertAlign w:val="superscript"/>
              </w:rPr>
              <w:t>***</w:t>
            </w:r>
          </w:p>
        </w:tc>
      </w:tr>
      <w:tr w:rsidR="000E19B9" w:rsidRPr="00BD67DF" w:rsidTr="00BD67DF">
        <w:trPr>
          <w:trHeight w:val="20"/>
        </w:trPr>
        <w:tc>
          <w:tcPr>
            <w:tcW w:w="0" w:type="auto"/>
            <w:tcBorders>
              <w:top w:val="nil"/>
              <w:left w:val="nil"/>
              <w:bottom w:val="nil"/>
              <w:right w:val="nil"/>
            </w:tcBorders>
            <w:shd w:val="clear" w:color="auto" w:fill="auto"/>
            <w:noWrap/>
            <w:vAlign w:val="bottom"/>
            <w:hideMark/>
          </w:tcPr>
          <w:p w:rsidR="000E19B9" w:rsidRPr="00BD67DF" w:rsidRDefault="000E19B9" w:rsidP="00BD67DF">
            <w:pPr>
              <w:overflowPunct/>
              <w:autoSpaceDE/>
              <w:autoSpaceDN/>
              <w:adjustRightInd/>
              <w:textAlignment w:val="auto"/>
              <w:rPr>
                <w:color w:val="000000"/>
              </w:rPr>
            </w:pPr>
            <w:r w:rsidRPr="00BD67DF">
              <w:rPr>
                <w:color w:val="000000"/>
              </w:rPr>
              <w:t xml:space="preserve">Capital Gains, </w:t>
            </w:r>
            <w:r w:rsidRPr="00BD67DF">
              <w:rPr>
                <w:i/>
                <w:iCs/>
                <w:color w:val="000000"/>
              </w:rPr>
              <w:t>c</w:t>
            </w:r>
          </w:p>
        </w:tc>
        <w:tc>
          <w:tcPr>
            <w:tcW w:w="0" w:type="auto"/>
            <w:tcBorders>
              <w:top w:val="nil"/>
              <w:left w:val="nil"/>
              <w:bottom w:val="nil"/>
              <w:right w:val="nil"/>
            </w:tcBorders>
            <w:shd w:val="clear" w:color="auto" w:fill="auto"/>
            <w:noWrap/>
            <w:vAlign w:val="bottom"/>
            <w:hideMark/>
          </w:tcPr>
          <w:p w:rsidR="000E19B9" w:rsidRPr="00BD67DF" w:rsidRDefault="000E19B9" w:rsidP="000769A4">
            <w:pPr>
              <w:overflowPunct/>
              <w:autoSpaceDE/>
              <w:autoSpaceDN/>
              <w:adjustRightInd/>
              <w:ind w:right="-24"/>
              <w:jc w:val="right"/>
              <w:textAlignment w:val="auto"/>
              <w:rPr>
                <w:color w:val="000000"/>
              </w:rPr>
            </w:pPr>
            <w:r w:rsidRPr="00BD67DF">
              <w:rPr>
                <w:color w:val="000000"/>
              </w:rPr>
              <w:t>15.9</w:t>
            </w:r>
          </w:p>
        </w:tc>
        <w:tc>
          <w:tcPr>
            <w:tcW w:w="0" w:type="auto"/>
            <w:tcBorders>
              <w:top w:val="nil"/>
              <w:left w:val="nil"/>
              <w:bottom w:val="nil"/>
              <w:right w:val="nil"/>
            </w:tcBorders>
            <w:shd w:val="clear" w:color="auto" w:fill="auto"/>
            <w:noWrap/>
            <w:vAlign w:val="bottom"/>
            <w:hideMark/>
          </w:tcPr>
          <w:p w:rsidR="000E19B9" w:rsidRPr="00BD67DF" w:rsidRDefault="000E19B9" w:rsidP="000769A4">
            <w:pPr>
              <w:overflowPunct/>
              <w:autoSpaceDE/>
              <w:autoSpaceDN/>
              <w:adjustRightInd/>
              <w:ind w:left="-122"/>
              <w:textAlignment w:val="auto"/>
              <w:rPr>
                <w:color w:val="000000"/>
              </w:rPr>
            </w:pPr>
            <w:r w:rsidRPr="00BD67DF">
              <w:rPr>
                <w:color w:val="000000"/>
                <w:vertAlign w:val="superscript"/>
              </w:rPr>
              <w:t>***</w:t>
            </w:r>
          </w:p>
        </w:tc>
        <w:tc>
          <w:tcPr>
            <w:tcW w:w="0" w:type="auto"/>
            <w:tcBorders>
              <w:top w:val="nil"/>
              <w:left w:val="nil"/>
              <w:bottom w:val="nil"/>
              <w:right w:val="nil"/>
            </w:tcBorders>
            <w:shd w:val="clear" w:color="auto" w:fill="auto"/>
            <w:noWrap/>
            <w:vAlign w:val="bottom"/>
            <w:hideMark/>
          </w:tcPr>
          <w:p w:rsidR="000E19B9" w:rsidRPr="00BD67DF" w:rsidRDefault="000E19B9" w:rsidP="000769A4">
            <w:pPr>
              <w:overflowPunct/>
              <w:autoSpaceDE/>
              <w:autoSpaceDN/>
              <w:adjustRightInd/>
              <w:ind w:right="-61"/>
              <w:jc w:val="right"/>
              <w:textAlignment w:val="auto"/>
              <w:rPr>
                <w:color w:val="000000"/>
              </w:rPr>
            </w:pPr>
            <w:r w:rsidRPr="00BD67DF">
              <w:rPr>
                <w:color w:val="000000"/>
              </w:rPr>
              <w:t>15.0</w:t>
            </w:r>
          </w:p>
        </w:tc>
        <w:tc>
          <w:tcPr>
            <w:tcW w:w="0" w:type="auto"/>
            <w:tcBorders>
              <w:top w:val="nil"/>
              <w:left w:val="nil"/>
              <w:bottom w:val="nil"/>
              <w:right w:val="nil"/>
            </w:tcBorders>
            <w:shd w:val="clear" w:color="auto" w:fill="auto"/>
            <w:noWrap/>
            <w:vAlign w:val="bottom"/>
            <w:hideMark/>
          </w:tcPr>
          <w:p w:rsidR="000E19B9" w:rsidRPr="00BD67DF" w:rsidRDefault="000E19B9" w:rsidP="000769A4">
            <w:pPr>
              <w:overflowPunct/>
              <w:autoSpaceDE/>
              <w:autoSpaceDN/>
              <w:adjustRightInd/>
              <w:ind w:left="-107"/>
              <w:textAlignment w:val="auto"/>
              <w:rPr>
                <w:color w:val="000000"/>
              </w:rPr>
            </w:pPr>
            <w:r w:rsidRPr="00BD67DF">
              <w:rPr>
                <w:color w:val="000000"/>
                <w:vertAlign w:val="superscript"/>
              </w:rPr>
              <w:t>***</w:t>
            </w:r>
          </w:p>
        </w:tc>
        <w:tc>
          <w:tcPr>
            <w:tcW w:w="0" w:type="auto"/>
            <w:tcBorders>
              <w:top w:val="nil"/>
              <w:left w:val="nil"/>
              <w:bottom w:val="nil"/>
              <w:right w:val="nil"/>
            </w:tcBorders>
            <w:shd w:val="clear" w:color="auto" w:fill="auto"/>
            <w:noWrap/>
            <w:vAlign w:val="bottom"/>
            <w:hideMark/>
          </w:tcPr>
          <w:p w:rsidR="000E19B9" w:rsidRPr="00BD67DF" w:rsidRDefault="000E19B9" w:rsidP="000769A4">
            <w:pPr>
              <w:overflowPunct/>
              <w:autoSpaceDE/>
              <w:autoSpaceDN/>
              <w:adjustRightInd/>
              <w:ind w:right="-83"/>
              <w:jc w:val="right"/>
              <w:textAlignment w:val="auto"/>
              <w:rPr>
                <w:color w:val="000000"/>
              </w:rPr>
            </w:pPr>
            <w:r w:rsidRPr="00BD67DF">
              <w:rPr>
                <w:color w:val="000000"/>
              </w:rPr>
              <w:t>9.5</w:t>
            </w:r>
          </w:p>
        </w:tc>
        <w:tc>
          <w:tcPr>
            <w:tcW w:w="0" w:type="auto"/>
            <w:tcBorders>
              <w:top w:val="nil"/>
              <w:left w:val="nil"/>
              <w:bottom w:val="nil"/>
              <w:right w:val="nil"/>
            </w:tcBorders>
            <w:shd w:val="clear" w:color="auto" w:fill="auto"/>
            <w:noWrap/>
            <w:vAlign w:val="bottom"/>
            <w:hideMark/>
          </w:tcPr>
          <w:p w:rsidR="000E19B9" w:rsidRPr="00BD67DF" w:rsidRDefault="000E19B9" w:rsidP="000769A4">
            <w:pPr>
              <w:overflowPunct/>
              <w:autoSpaceDE/>
              <w:autoSpaceDN/>
              <w:adjustRightInd/>
              <w:ind w:left="-92"/>
              <w:textAlignment w:val="auto"/>
              <w:rPr>
                <w:color w:val="000000"/>
              </w:rPr>
            </w:pPr>
            <w:r w:rsidRPr="00BD67DF">
              <w:rPr>
                <w:color w:val="000000"/>
                <w:vertAlign w:val="superscript"/>
              </w:rPr>
              <w:t>***</w:t>
            </w:r>
          </w:p>
        </w:tc>
      </w:tr>
      <w:tr w:rsidR="000E19B9" w:rsidRPr="00BD67DF" w:rsidTr="00BD67DF">
        <w:trPr>
          <w:trHeight w:val="20"/>
        </w:trPr>
        <w:tc>
          <w:tcPr>
            <w:tcW w:w="0" w:type="auto"/>
            <w:tcBorders>
              <w:top w:val="nil"/>
              <w:left w:val="nil"/>
              <w:right w:val="nil"/>
            </w:tcBorders>
            <w:shd w:val="clear" w:color="auto" w:fill="auto"/>
            <w:noWrap/>
            <w:vAlign w:val="bottom"/>
            <w:hideMark/>
          </w:tcPr>
          <w:p w:rsidR="000E19B9" w:rsidRPr="00BD67DF" w:rsidRDefault="000E19B9" w:rsidP="00BD67DF">
            <w:pPr>
              <w:overflowPunct/>
              <w:autoSpaceDE/>
              <w:autoSpaceDN/>
              <w:adjustRightInd/>
              <w:textAlignment w:val="auto"/>
              <w:rPr>
                <w:color w:val="000000"/>
              </w:rPr>
            </w:pPr>
            <w:r w:rsidRPr="00BD67DF">
              <w:rPr>
                <w:color w:val="000000"/>
              </w:rPr>
              <w:t xml:space="preserve">CRE Tightening, </w:t>
            </w:r>
            <w:r w:rsidRPr="00BD67DF">
              <w:rPr>
                <w:i/>
                <w:iCs/>
                <w:color w:val="000000"/>
              </w:rPr>
              <w:t>z</w:t>
            </w:r>
          </w:p>
        </w:tc>
        <w:tc>
          <w:tcPr>
            <w:tcW w:w="0" w:type="auto"/>
            <w:tcBorders>
              <w:top w:val="nil"/>
              <w:left w:val="nil"/>
              <w:right w:val="nil"/>
            </w:tcBorders>
            <w:shd w:val="clear" w:color="auto" w:fill="auto"/>
            <w:noWrap/>
            <w:vAlign w:val="bottom"/>
            <w:hideMark/>
          </w:tcPr>
          <w:p w:rsidR="000E19B9" w:rsidRPr="00BD67DF" w:rsidRDefault="000E19B9" w:rsidP="000769A4">
            <w:pPr>
              <w:overflowPunct/>
              <w:autoSpaceDE/>
              <w:autoSpaceDN/>
              <w:adjustRightInd/>
              <w:ind w:right="-24"/>
              <w:jc w:val="right"/>
              <w:textAlignment w:val="auto"/>
              <w:rPr>
                <w:color w:val="000000"/>
              </w:rPr>
            </w:pPr>
            <w:r w:rsidRPr="00BD67DF">
              <w:rPr>
                <w:color w:val="000000"/>
              </w:rPr>
              <w:t>9.3</w:t>
            </w:r>
          </w:p>
        </w:tc>
        <w:tc>
          <w:tcPr>
            <w:tcW w:w="0" w:type="auto"/>
            <w:tcBorders>
              <w:top w:val="nil"/>
              <w:left w:val="nil"/>
              <w:right w:val="nil"/>
            </w:tcBorders>
            <w:shd w:val="clear" w:color="auto" w:fill="auto"/>
            <w:noWrap/>
            <w:vAlign w:val="bottom"/>
            <w:hideMark/>
          </w:tcPr>
          <w:p w:rsidR="000E19B9" w:rsidRPr="00BD67DF" w:rsidRDefault="000E19B9" w:rsidP="000769A4">
            <w:pPr>
              <w:overflowPunct/>
              <w:autoSpaceDE/>
              <w:autoSpaceDN/>
              <w:adjustRightInd/>
              <w:ind w:left="-122"/>
              <w:textAlignment w:val="auto"/>
              <w:rPr>
                <w:color w:val="000000"/>
              </w:rPr>
            </w:pPr>
            <w:r w:rsidRPr="00BD67DF">
              <w:rPr>
                <w:color w:val="000000"/>
                <w:vertAlign w:val="superscript"/>
              </w:rPr>
              <w:t>***</w:t>
            </w:r>
          </w:p>
        </w:tc>
        <w:tc>
          <w:tcPr>
            <w:tcW w:w="0" w:type="auto"/>
            <w:tcBorders>
              <w:top w:val="nil"/>
              <w:left w:val="nil"/>
              <w:right w:val="nil"/>
            </w:tcBorders>
            <w:shd w:val="clear" w:color="auto" w:fill="auto"/>
            <w:noWrap/>
            <w:vAlign w:val="bottom"/>
            <w:hideMark/>
          </w:tcPr>
          <w:p w:rsidR="000E19B9" w:rsidRPr="00BD67DF" w:rsidRDefault="000E19B9" w:rsidP="000769A4">
            <w:pPr>
              <w:overflowPunct/>
              <w:autoSpaceDE/>
              <w:autoSpaceDN/>
              <w:adjustRightInd/>
              <w:ind w:right="-61"/>
              <w:jc w:val="right"/>
              <w:textAlignment w:val="auto"/>
              <w:rPr>
                <w:color w:val="000000"/>
              </w:rPr>
            </w:pPr>
            <w:r w:rsidRPr="00BD67DF">
              <w:rPr>
                <w:color w:val="000000"/>
              </w:rPr>
              <w:t>8.3</w:t>
            </w:r>
          </w:p>
        </w:tc>
        <w:tc>
          <w:tcPr>
            <w:tcW w:w="0" w:type="auto"/>
            <w:tcBorders>
              <w:top w:val="nil"/>
              <w:left w:val="nil"/>
              <w:right w:val="nil"/>
            </w:tcBorders>
            <w:shd w:val="clear" w:color="auto" w:fill="auto"/>
            <w:noWrap/>
            <w:vAlign w:val="bottom"/>
            <w:hideMark/>
          </w:tcPr>
          <w:p w:rsidR="000E19B9" w:rsidRPr="00BD67DF" w:rsidRDefault="000E19B9" w:rsidP="000769A4">
            <w:pPr>
              <w:overflowPunct/>
              <w:autoSpaceDE/>
              <w:autoSpaceDN/>
              <w:adjustRightInd/>
              <w:ind w:left="-107"/>
              <w:textAlignment w:val="auto"/>
              <w:rPr>
                <w:color w:val="000000"/>
              </w:rPr>
            </w:pPr>
            <w:r w:rsidRPr="00BD67DF">
              <w:rPr>
                <w:color w:val="000000"/>
                <w:vertAlign w:val="superscript"/>
              </w:rPr>
              <w:t>***</w:t>
            </w:r>
          </w:p>
        </w:tc>
        <w:tc>
          <w:tcPr>
            <w:tcW w:w="0" w:type="auto"/>
            <w:tcBorders>
              <w:top w:val="nil"/>
              <w:left w:val="nil"/>
              <w:right w:val="nil"/>
            </w:tcBorders>
            <w:shd w:val="clear" w:color="auto" w:fill="auto"/>
            <w:noWrap/>
            <w:vAlign w:val="bottom"/>
            <w:hideMark/>
          </w:tcPr>
          <w:p w:rsidR="000E19B9" w:rsidRPr="00BD67DF" w:rsidRDefault="000E19B9" w:rsidP="000769A4">
            <w:pPr>
              <w:overflowPunct/>
              <w:autoSpaceDE/>
              <w:autoSpaceDN/>
              <w:adjustRightInd/>
              <w:ind w:right="-83"/>
              <w:textAlignment w:val="auto"/>
              <w:rPr>
                <w:color w:val="000000"/>
              </w:rPr>
            </w:pPr>
          </w:p>
        </w:tc>
        <w:tc>
          <w:tcPr>
            <w:tcW w:w="0" w:type="auto"/>
            <w:tcBorders>
              <w:top w:val="nil"/>
              <w:left w:val="nil"/>
              <w:right w:val="nil"/>
            </w:tcBorders>
            <w:shd w:val="clear" w:color="auto" w:fill="auto"/>
            <w:noWrap/>
            <w:vAlign w:val="bottom"/>
            <w:hideMark/>
          </w:tcPr>
          <w:p w:rsidR="000E19B9" w:rsidRPr="00BD67DF" w:rsidRDefault="000E19B9" w:rsidP="00BD67DF">
            <w:pPr>
              <w:overflowPunct/>
              <w:autoSpaceDE/>
              <w:autoSpaceDN/>
              <w:adjustRightInd/>
              <w:textAlignment w:val="auto"/>
              <w:rPr>
                <w:color w:val="000000"/>
              </w:rPr>
            </w:pPr>
          </w:p>
        </w:tc>
      </w:tr>
      <w:tr w:rsidR="000E19B9" w:rsidRPr="00BD67DF" w:rsidTr="00BD67DF">
        <w:trPr>
          <w:trHeight w:val="20"/>
        </w:trPr>
        <w:tc>
          <w:tcPr>
            <w:tcW w:w="0" w:type="auto"/>
            <w:tcBorders>
              <w:top w:val="nil"/>
              <w:left w:val="nil"/>
              <w:bottom w:val="single" w:sz="12" w:space="0" w:color="auto"/>
              <w:right w:val="nil"/>
            </w:tcBorders>
            <w:shd w:val="clear" w:color="auto" w:fill="auto"/>
            <w:noWrap/>
            <w:vAlign w:val="bottom"/>
            <w:hideMark/>
          </w:tcPr>
          <w:p w:rsidR="000E19B9" w:rsidRPr="00BD67DF" w:rsidRDefault="000E19B9" w:rsidP="00BD67DF">
            <w:pPr>
              <w:overflowPunct/>
              <w:autoSpaceDE/>
              <w:autoSpaceDN/>
              <w:adjustRightInd/>
              <w:spacing w:after="80"/>
              <w:textAlignment w:val="auto"/>
              <w:rPr>
                <w:color w:val="000000"/>
              </w:rPr>
            </w:pPr>
            <w:r w:rsidRPr="00BD67DF">
              <w:rPr>
                <w:color w:val="000000"/>
              </w:rPr>
              <w:t xml:space="preserve">Volume, </w:t>
            </w:r>
            <w:r w:rsidRPr="00BD67DF">
              <w:rPr>
                <w:i/>
                <w:iCs/>
                <w:color w:val="000000"/>
              </w:rPr>
              <w:t>v</w:t>
            </w:r>
          </w:p>
        </w:tc>
        <w:tc>
          <w:tcPr>
            <w:tcW w:w="0" w:type="auto"/>
            <w:tcBorders>
              <w:top w:val="nil"/>
              <w:left w:val="nil"/>
              <w:bottom w:val="single" w:sz="12" w:space="0" w:color="auto"/>
              <w:right w:val="nil"/>
            </w:tcBorders>
            <w:shd w:val="clear" w:color="auto" w:fill="auto"/>
            <w:noWrap/>
            <w:vAlign w:val="bottom"/>
            <w:hideMark/>
          </w:tcPr>
          <w:p w:rsidR="000E19B9" w:rsidRPr="00BD67DF" w:rsidRDefault="000E19B9" w:rsidP="000769A4">
            <w:pPr>
              <w:overflowPunct/>
              <w:autoSpaceDE/>
              <w:autoSpaceDN/>
              <w:adjustRightInd/>
              <w:spacing w:after="80"/>
              <w:ind w:right="-24"/>
              <w:jc w:val="right"/>
              <w:textAlignment w:val="auto"/>
              <w:rPr>
                <w:color w:val="000000"/>
              </w:rPr>
            </w:pPr>
            <w:r w:rsidRPr="00BD67DF">
              <w:rPr>
                <w:color w:val="000000"/>
              </w:rPr>
              <w:t>26.1</w:t>
            </w:r>
          </w:p>
        </w:tc>
        <w:tc>
          <w:tcPr>
            <w:tcW w:w="0" w:type="auto"/>
            <w:tcBorders>
              <w:top w:val="nil"/>
              <w:left w:val="nil"/>
              <w:bottom w:val="single" w:sz="12" w:space="0" w:color="auto"/>
              <w:right w:val="nil"/>
            </w:tcBorders>
            <w:shd w:val="clear" w:color="auto" w:fill="auto"/>
            <w:noWrap/>
            <w:vAlign w:val="bottom"/>
            <w:hideMark/>
          </w:tcPr>
          <w:p w:rsidR="000E19B9" w:rsidRPr="00BD67DF" w:rsidRDefault="000E19B9" w:rsidP="000769A4">
            <w:pPr>
              <w:overflowPunct/>
              <w:autoSpaceDE/>
              <w:autoSpaceDN/>
              <w:adjustRightInd/>
              <w:spacing w:after="80"/>
              <w:ind w:left="-122"/>
              <w:textAlignment w:val="auto"/>
              <w:rPr>
                <w:color w:val="000000"/>
              </w:rPr>
            </w:pPr>
            <w:r w:rsidRPr="00BD67DF">
              <w:rPr>
                <w:color w:val="000000"/>
                <w:vertAlign w:val="superscript"/>
              </w:rPr>
              <w:t>***</w:t>
            </w:r>
          </w:p>
        </w:tc>
        <w:tc>
          <w:tcPr>
            <w:tcW w:w="0" w:type="auto"/>
            <w:tcBorders>
              <w:top w:val="nil"/>
              <w:left w:val="nil"/>
              <w:bottom w:val="single" w:sz="12" w:space="0" w:color="auto"/>
              <w:right w:val="nil"/>
            </w:tcBorders>
            <w:shd w:val="clear" w:color="auto" w:fill="auto"/>
            <w:noWrap/>
            <w:vAlign w:val="bottom"/>
            <w:hideMark/>
          </w:tcPr>
          <w:p w:rsidR="000E19B9" w:rsidRPr="00BD67DF" w:rsidRDefault="000E19B9" w:rsidP="000769A4">
            <w:pPr>
              <w:overflowPunct/>
              <w:autoSpaceDE/>
              <w:autoSpaceDN/>
              <w:adjustRightInd/>
              <w:spacing w:after="80"/>
              <w:ind w:right="-61"/>
              <w:textAlignment w:val="auto"/>
              <w:rPr>
                <w:rFonts w:ascii="Calibri" w:hAnsi="Calibri"/>
                <w:color w:val="000000"/>
                <w:sz w:val="22"/>
                <w:szCs w:val="22"/>
              </w:rPr>
            </w:pPr>
          </w:p>
        </w:tc>
        <w:tc>
          <w:tcPr>
            <w:tcW w:w="0" w:type="auto"/>
            <w:tcBorders>
              <w:top w:val="nil"/>
              <w:left w:val="nil"/>
              <w:bottom w:val="single" w:sz="12" w:space="0" w:color="auto"/>
              <w:right w:val="nil"/>
            </w:tcBorders>
            <w:shd w:val="clear" w:color="auto" w:fill="auto"/>
            <w:noWrap/>
            <w:vAlign w:val="bottom"/>
            <w:hideMark/>
          </w:tcPr>
          <w:p w:rsidR="000E19B9" w:rsidRPr="00BD67DF" w:rsidRDefault="000E19B9" w:rsidP="00BD67DF">
            <w:pPr>
              <w:overflowPunct/>
              <w:autoSpaceDE/>
              <w:autoSpaceDN/>
              <w:adjustRightInd/>
              <w:spacing w:after="80"/>
              <w:textAlignment w:val="auto"/>
              <w:rPr>
                <w:rFonts w:ascii="Calibri" w:hAnsi="Calibri"/>
                <w:color w:val="000000"/>
                <w:sz w:val="22"/>
                <w:szCs w:val="22"/>
              </w:rPr>
            </w:pPr>
          </w:p>
        </w:tc>
        <w:tc>
          <w:tcPr>
            <w:tcW w:w="0" w:type="auto"/>
            <w:tcBorders>
              <w:top w:val="nil"/>
              <w:left w:val="nil"/>
              <w:bottom w:val="single" w:sz="12" w:space="0" w:color="auto"/>
              <w:right w:val="nil"/>
            </w:tcBorders>
            <w:shd w:val="clear" w:color="auto" w:fill="auto"/>
            <w:noWrap/>
            <w:vAlign w:val="bottom"/>
            <w:hideMark/>
          </w:tcPr>
          <w:p w:rsidR="000E19B9" w:rsidRPr="00BD67DF" w:rsidRDefault="000E19B9" w:rsidP="00BD67DF">
            <w:pPr>
              <w:overflowPunct/>
              <w:autoSpaceDE/>
              <w:autoSpaceDN/>
              <w:adjustRightInd/>
              <w:spacing w:after="80"/>
              <w:textAlignment w:val="auto"/>
              <w:rPr>
                <w:color w:val="000000"/>
              </w:rPr>
            </w:pPr>
          </w:p>
        </w:tc>
        <w:tc>
          <w:tcPr>
            <w:tcW w:w="0" w:type="auto"/>
            <w:tcBorders>
              <w:top w:val="nil"/>
              <w:left w:val="nil"/>
              <w:bottom w:val="single" w:sz="12" w:space="0" w:color="auto"/>
              <w:right w:val="nil"/>
            </w:tcBorders>
            <w:shd w:val="clear" w:color="auto" w:fill="auto"/>
            <w:noWrap/>
            <w:vAlign w:val="bottom"/>
            <w:hideMark/>
          </w:tcPr>
          <w:p w:rsidR="000E19B9" w:rsidRPr="00BD67DF" w:rsidRDefault="000E19B9" w:rsidP="00BD67DF">
            <w:pPr>
              <w:overflowPunct/>
              <w:autoSpaceDE/>
              <w:autoSpaceDN/>
              <w:adjustRightInd/>
              <w:spacing w:after="80"/>
              <w:textAlignment w:val="auto"/>
              <w:rPr>
                <w:color w:val="000000"/>
              </w:rPr>
            </w:pPr>
          </w:p>
        </w:tc>
      </w:tr>
      <w:tr w:rsidR="000E19B9" w:rsidRPr="00BD67DF" w:rsidTr="00BD67DF">
        <w:trPr>
          <w:trHeight w:val="20"/>
        </w:trPr>
        <w:tc>
          <w:tcPr>
            <w:tcW w:w="0" w:type="auto"/>
            <w:gridSpan w:val="7"/>
            <w:tcBorders>
              <w:top w:val="single" w:sz="12" w:space="0" w:color="auto"/>
              <w:left w:val="nil"/>
              <w:bottom w:val="nil"/>
              <w:right w:val="nil"/>
            </w:tcBorders>
            <w:shd w:val="clear" w:color="auto" w:fill="auto"/>
            <w:noWrap/>
            <w:vAlign w:val="bottom"/>
            <w:hideMark/>
          </w:tcPr>
          <w:p w:rsidR="000E19B9" w:rsidRPr="00BD67DF" w:rsidRDefault="000E19B9" w:rsidP="00C902DA">
            <w:pPr>
              <w:overflowPunct/>
              <w:autoSpaceDE/>
              <w:autoSpaceDN/>
              <w:adjustRightInd/>
              <w:spacing w:before="80" w:after="60"/>
              <w:textAlignment w:val="auto"/>
              <w:rPr>
                <w:color w:val="000000"/>
              </w:rPr>
            </w:pPr>
            <w:r w:rsidRPr="00BD67DF">
              <w:rPr>
                <w:b/>
                <w:bCs/>
                <w:color w:val="000000"/>
              </w:rPr>
              <w:t xml:space="preserve">Panel D. </w:t>
            </w:r>
            <w:r w:rsidR="00481EDC">
              <w:rPr>
                <w:color w:val="000000"/>
              </w:rPr>
              <w:t xml:space="preserve">Granger </w:t>
            </w:r>
            <w:r w:rsidR="001F61F1">
              <w:rPr>
                <w:color w:val="000000"/>
              </w:rPr>
              <w:t>c</w:t>
            </w:r>
            <w:r w:rsidRPr="00BD67DF">
              <w:rPr>
                <w:color w:val="000000"/>
              </w:rPr>
              <w:t xml:space="preserve">ausality </w:t>
            </w:r>
            <w:r w:rsidR="001F61F1">
              <w:rPr>
                <w:color w:val="000000"/>
              </w:rPr>
              <w:t>t</w:t>
            </w:r>
            <w:r w:rsidRPr="00BD67DF">
              <w:rPr>
                <w:color w:val="000000"/>
              </w:rPr>
              <w:t>est</w:t>
            </w:r>
            <w:r w:rsidR="001F61F1">
              <w:rPr>
                <w:color w:val="000000"/>
              </w:rPr>
              <w:t>s</w:t>
            </w:r>
          </w:p>
        </w:tc>
      </w:tr>
      <w:tr w:rsidR="000E19B9" w:rsidRPr="00BD67DF" w:rsidTr="00BD67DF">
        <w:trPr>
          <w:trHeight w:val="20"/>
        </w:trPr>
        <w:tc>
          <w:tcPr>
            <w:tcW w:w="0" w:type="auto"/>
            <w:tcBorders>
              <w:top w:val="nil"/>
              <w:left w:val="nil"/>
              <w:bottom w:val="double" w:sz="6" w:space="0" w:color="auto"/>
              <w:right w:val="nil"/>
            </w:tcBorders>
            <w:shd w:val="clear" w:color="auto" w:fill="auto"/>
            <w:noWrap/>
            <w:vAlign w:val="bottom"/>
            <w:hideMark/>
          </w:tcPr>
          <w:p w:rsidR="000E19B9" w:rsidRPr="00BD67DF" w:rsidRDefault="000E19B9" w:rsidP="00BD67DF">
            <w:pPr>
              <w:overflowPunct/>
              <w:autoSpaceDE/>
              <w:autoSpaceDN/>
              <w:adjustRightInd/>
              <w:jc w:val="right"/>
              <w:textAlignment w:val="auto"/>
              <w:rPr>
                <w:color w:val="000000"/>
              </w:rPr>
            </w:pPr>
            <w:r w:rsidRPr="00BD67DF">
              <w:rPr>
                <w:color w:val="000000"/>
              </w:rPr>
              <w:t>Set:</w:t>
            </w:r>
          </w:p>
        </w:tc>
        <w:tc>
          <w:tcPr>
            <w:tcW w:w="0" w:type="auto"/>
            <w:gridSpan w:val="2"/>
            <w:tcBorders>
              <w:top w:val="nil"/>
              <w:left w:val="nil"/>
              <w:bottom w:val="double" w:sz="6" w:space="0" w:color="auto"/>
              <w:right w:val="nil"/>
            </w:tcBorders>
            <w:shd w:val="clear" w:color="auto" w:fill="auto"/>
            <w:noWrap/>
            <w:vAlign w:val="bottom"/>
            <w:hideMark/>
          </w:tcPr>
          <w:p w:rsidR="000E19B9" w:rsidRPr="00BD67DF" w:rsidRDefault="000E19B9" w:rsidP="00544587">
            <w:pPr>
              <w:overflowPunct/>
              <w:autoSpaceDE/>
              <w:autoSpaceDN/>
              <w:adjustRightInd/>
              <w:jc w:val="center"/>
              <w:textAlignment w:val="auto"/>
              <w:rPr>
                <w:b/>
                <w:color w:val="000000"/>
              </w:rPr>
            </w:pPr>
            <w:r w:rsidRPr="00BD67DF">
              <w:rPr>
                <w:b/>
                <w:color w:val="000000"/>
              </w:rPr>
              <w:t>{</w:t>
            </w:r>
            <w:r>
              <w:rPr>
                <w:b/>
                <w:color w:val="000000"/>
              </w:rPr>
              <w:t xml:space="preserve"> </w:t>
            </w:r>
            <w:r w:rsidRPr="00BD67DF">
              <w:rPr>
                <w:b/>
                <w:i/>
                <w:iCs/>
                <w:color w:val="000000"/>
              </w:rPr>
              <w:t>y</w:t>
            </w:r>
            <w:r w:rsidRPr="00BD67DF">
              <w:rPr>
                <w:b/>
                <w:color w:val="000000"/>
              </w:rPr>
              <w:t>,</w:t>
            </w:r>
            <w:r>
              <w:rPr>
                <w:b/>
                <w:color w:val="000000"/>
              </w:rPr>
              <w:t xml:space="preserve"> </w:t>
            </w:r>
            <w:r w:rsidRPr="00BD67DF">
              <w:rPr>
                <w:b/>
                <w:i/>
                <w:iCs/>
                <w:color w:val="000000"/>
              </w:rPr>
              <w:t>c</w:t>
            </w:r>
            <w:r w:rsidRPr="00BD67DF">
              <w:rPr>
                <w:b/>
                <w:color w:val="000000"/>
              </w:rPr>
              <w:t>,</w:t>
            </w:r>
            <w:r>
              <w:rPr>
                <w:b/>
                <w:color w:val="000000"/>
              </w:rPr>
              <w:t xml:space="preserve"> </w:t>
            </w:r>
            <w:r w:rsidRPr="00BD67DF">
              <w:rPr>
                <w:b/>
                <w:i/>
                <w:iCs/>
                <w:color w:val="000000"/>
              </w:rPr>
              <w:t>z</w:t>
            </w:r>
            <w:r w:rsidRPr="00BD67DF">
              <w:rPr>
                <w:b/>
                <w:color w:val="000000"/>
              </w:rPr>
              <w:t>,</w:t>
            </w:r>
            <w:r>
              <w:rPr>
                <w:b/>
                <w:color w:val="000000"/>
              </w:rPr>
              <w:t xml:space="preserve"> </w:t>
            </w:r>
            <w:r w:rsidRPr="00BD67DF">
              <w:rPr>
                <w:b/>
                <w:i/>
                <w:iCs/>
                <w:color w:val="000000"/>
              </w:rPr>
              <w:t>v</w:t>
            </w:r>
            <w:r>
              <w:rPr>
                <w:b/>
                <w:i/>
                <w:iCs/>
                <w:color w:val="000000"/>
              </w:rPr>
              <w:t xml:space="preserve"> </w:t>
            </w:r>
            <w:r w:rsidRPr="00BD67DF">
              <w:rPr>
                <w:b/>
                <w:color w:val="000000"/>
              </w:rPr>
              <w:t>}</w:t>
            </w:r>
          </w:p>
        </w:tc>
        <w:tc>
          <w:tcPr>
            <w:tcW w:w="0" w:type="auto"/>
            <w:gridSpan w:val="2"/>
            <w:tcBorders>
              <w:top w:val="nil"/>
              <w:left w:val="nil"/>
              <w:bottom w:val="double" w:sz="6" w:space="0" w:color="auto"/>
              <w:right w:val="nil"/>
            </w:tcBorders>
            <w:shd w:val="clear" w:color="auto" w:fill="auto"/>
            <w:noWrap/>
            <w:vAlign w:val="bottom"/>
            <w:hideMark/>
          </w:tcPr>
          <w:p w:rsidR="000E19B9" w:rsidRPr="00BD67DF" w:rsidRDefault="000E19B9" w:rsidP="00544587">
            <w:pPr>
              <w:overflowPunct/>
              <w:autoSpaceDE/>
              <w:autoSpaceDN/>
              <w:adjustRightInd/>
              <w:jc w:val="center"/>
              <w:textAlignment w:val="auto"/>
              <w:rPr>
                <w:b/>
                <w:color w:val="000000"/>
              </w:rPr>
            </w:pPr>
            <w:r w:rsidRPr="00BD67DF">
              <w:rPr>
                <w:b/>
                <w:color w:val="000000"/>
              </w:rPr>
              <w:t>{</w:t>
            </w:r>
            <w:r>
              <w:rPr>
                <w:b/>
                <w:color w:val="000000"/>
              </w:rPr>
              <w:t xml:space="preserve"> </w:t>
            </w:r>
            <w:r w:rsidRPr="00BD67DF">
              <w:rPr>
                <w:b/>
                <w:i/>
                <w:iCs/>
                <w:color w:val="000000"/>
              </w:rPr>
              <w:t>y</w:t>
            </w:r>
            <w:r w:rsidRPr="00BD67DF">
              <w:rPr>
                <w:b/>
                <w:color w:val="000000"/>
              </w:rPr>
              <w:t>,</w:t>
            </w:r>
            <w:r>
              <w:rPr>
                <w:b/>
                <w:color w:val="000000"/>
              </w:rPr>
              <w:t xml:space="preserve"> </w:t>
            </w:r>
            <w:r w:rsidRPr="00BD67DF">
              <w:rPr>
                <w:b/>
                <w:i/>
                <w:iCs/>
                <w:color w:val="000000"/>
              </w:rPr>
              <w:t>c</w:t>
            </w:r>
            <w:r w:rsidRPr="00BD67DF">
              <w:rPr>
                <w:b/>
                <w:color w:val="000000"/>
              </w:rPr>
              <w:t>,</w:t>
            </w:r>
            <w:r>
              <w:rPr>
                <w:b/>
                <w:color w:val="000000"/>
              </w:rPr>
              <w:t xml:space="preserve"> </w:t>
            </w:r>
            <w:r w:rsidRPr="00BD67DF">
              <w:rPr>
                <w:b/>
                <w:i/>
                <w:iCs/>
                <w:color w:val="000000"/>
              </w:rPr>
              <w:t>z</w:t>
            </w:r>
            <w:r>
              <w:rPr>
                <w:b/>
                <w:i/>
                <w:iCs/>
                <w:color w:val="000000"/>
              </w:rPr>
              <w:t xml:space="preserve"> </w:t>
            </w:r>
            <w:r w:rsidRPr="00BD67DF">
              <w:rPr>
                <w:b/>
                <w:color w:val="000000"/>
              </w:rPr>
              <w:t>}</w:t>
            </w:r>
          </w:p>
        </w:tc>
        <w:tc>
          <w:tcPr>
            <w:tcW w:w="0" w:type="auto"/>
            <w:gridSpan w:val="2"/>
            <w:tcBorders>
              <w:top w:val="nil"/>
              <w:left w:val="nil"/>
              <w:bottom w:val="double" w:sz="6" w:space="0" w:color="auto"/>
              <w:right w:val="nil"/>
            </w:tcBorders>
            <w:shd w:val="clear" w:color="auto" w:fill="auto"/>
            <w:noWrap/>
            <w:vAlign w:val="bottom"/>
            <w:hideMark/>
          </w:tcPr>
          <w:p w:rsidR="000E19B9" w:rsidRPr="00BD67DF" w:rsidRDefault="000E19B9" w:rsidP="00544587">
            <w:pPr>
              <w:overflowPunct/>
              <w:autoSpaceDE/>
              <w:autoSpaceDN/>
              <w:adjustRightInd/>
              <w:jc w:val="center"/>
              <w:textAlignment w:val="auto"/>
              <w:rPr>
                <w:b/>
                <w:color w:val="000000"/>
              </w:rPr>
            </w:pPr>
            <w:r w:rsidRPr="00BD67DF">
              <w:rPr>
                <w:b/>
                <w:color w:val="000000"/>
              </w:rPr>
              <w:t>{</w:t>
            </w:r>
            <w:r>
              <w:rPr>
                <w:b/>
                <w:color w:val="000000"/>
              </w:rPr>
              <w:t xml:space="preserve"> </w:t>
            </w:r>
            <w:r w:rsidRPr="00BD67DF">
              <w:rPr>
                <w:b/>
                <w:i/>
                <w:iCs/>
                <w:color w:val="000000"/>
              </w:rPr>
              <w:t>y</w:t>
            </w:r>
            <w:r w:rsidRPr="00BD67DF">
              <w:rPr>
                <w:b/>
                <w:color w:val="000000"/>
              </w:rPr>
              <w:t>,</w:t>
            </w:r>
            <w:r>
              <w:rPr>
                <w:b/>
                <w:color w:val="000000"/>
              </w:rPr>
              <w:t xml:space="preserve"> </w:t>
            </w:r>
            <w:r w:rsidRPr="00BD67DF">
              <w:rPr>
                <w:b/>
                <w:i/>
                <w:iCs/>
                <w:color w:val="000000"/>
              </w:rPr>
              <w:t>c</w:t>
            </w:r>
            <w:r>
              <w:rPr>
                <w:b/>
                <w:i/>
                <w:iCs/>
                <w:color w:val="000000"/>
              </w:rPr>
              <w:t xml:space="preserve"> </w:t>
            </w:r>
            <w:r w:rsidRPr="00BD67DF">
              <w:rPr>
                <w:b/>
                <w:color w:val="000000"/>
              </w:rPr>
              <w:t>}</w:t>
            </w:r>
          </w:p>
        </w:tc>
      </w:tr>
      <w:tr w:rsidR="000E19B9" w:rsidRPr="00BD67DF" w:rsidTr="00BD67DF">
        <w:trPr>
          <w:trHeight w:val="20"/>
        </w:trPr>
        <w:tc>
          <w:tcPr>
            <w:tcW w:w="0" w:type="auto"/>
            <w:tcBorders>
              <w:top w:val="nil"/>
              <w:left w:val="nil"/>
              <w:bottom w:val="nil"/>
              <w:right w:val="nil"/>
            </w:tcBorders>
            <w:shd w:val="clear" w:color="auto" w:fill="auto"/>
            <w:noWrap/>
            <w:vAlign w:val="bottom"/>
            <w:hideMark/>
          </w:tcPr>
          <w:p w:rsidR="000E19B9" w:rsidRPr="00BD67DF" w:rsidRDefault="000E19B9" w:rsidP="00BD67DF">
            <w:pPr>
              <w:overflowPunct/>
              <w:autoSpaceDE/>
              <w:autoSpaceDN/>
              <w:adjustRightInd/>
              <w:textAlignment w:val="auto"/>
              <w:rPr>
                <w:color w:val="000000"/>
              </w:rPr>
            </w:pPr>
            <w:r w:rsidRPr="00BD67DF">
              <w:rPr>
                <w:color w:val="000000"/>
              </w:rPr>
              <w:t xml:space="preserve">Income Returns, </w:t>
            </w:r>
            <w:r w:rsidRPr="00BD67DF">
              <w:rPr>
                <w:i/>
                <w:iCs/>
                <w:color w:val="000000"/>
              </w:rPr>
              <w:t>y</w:t>
            </w:r>
          </w:p>
        </w:tc>
        <w:tc>
          <w:tcPr>
            <w:tcW w:w="0" w:type="auto"/>
            <w:tcBorders>
              <w:top w:val="nil"/>
              <w:left w:val="nil"/>
              <w:bottom w:val="nil"/>
              <w:right w:val="nil"/>
            </w:tcBorders>
            <w:shd w:val="clear" w:color="auto" w:fill="auto"/>
            <w:noWrap/>
            <w:vAlign w:val="bottom"/>
            <w:hideMark/>
          </w:tcPr>
          <w:p w:rsidR="000E19B9" w:rsidRPr="00BD67DF" w:rsidRDefault="000E19B9" w:rsidP="000769A4">
            <w:pPr>
              <w:overflowPunct/>
              <w:autoSpaceDE/>
              <w:autoSpaceDN/>
              <w:adjustRightInd/>
              <w:ind w:right="-24"/>
              <w:jc w:val="right"/>
              <w:textAlignment w:val="auto"/>
              <w:rPr>
                <w:color w:val="000000"/>
              </w:rPr>
            </w:pPr>
            <w:r w:rsidRPr="00BD67DF">
              <w:rPr>
                <w:color w:val="000000"/>
              </w:rPr>
              <w:t>43.2</w:t>
            </w:r>
          </w:p>
        </w:tc>
        <w:tc>
          <w:tcPr>
            <w:tcW w:w="0" w:type="auto"/>
            <w:tcBorders>
              <w:top w:val="nil"/>
              <w:left w:val="nil"/>
              <w:bottom w:val="nil"/>
              <w:right w:val="nil"/>
            </w:tcBorders>
            <w:shd w:val="clear" w:color="auto" w:fill="auto"/>
            <w:noWrap/>
            <w:vAlign w:val="bottom"/>
            <w:hideMark/>
          </w:tcPr>
          <w:p w:rsidR="000E19B9" w:rsidRPr="00BD67DF" w:rsidRDefault="000E19B9" w:rsidP="000769A4">
            <w:pPr>
              <w:overflowPunct/>
              <w:autoSpaceDE/>
              <w:autoSpaceDN/>
              <w:adjustRightInd/>
              <w:ind w:left="-122"/>
              <w:textAlignment w:val="auto"/>
              <w:rPr>
                <w:color w:val="000000"/>
              </w:rPr>
            </w:pPr>
            <w:r w:rsidRPr="00BD67DF">
              <w:rPr>
                <w:color w:val="000000"/>
                <w:vertAlign w:val="superscript"/>
              </w:rPr>
              <w:t>***</w:t>
            </w:r>
          </w:p>
        </w:tc>
        <w:tc>
          <w:tcPr>
            <w:tcW w:w="0" w:type="auto"/>
            <w:tcBorders>
              <w:top w:val="nil"/>
              <w:left w:val="nil"/>
              <w:bottom w:val="nil"/>
              <w:right w:val="nil"/>
            </w:tcBorders>
            <w:shd w:val="clear" w:color="auto" w:fill="auto"/>
            <w:noWrap/>
            <w:vAlign w:val="bottom"/>
            <w:hideMark/>
          </w:tcPr>
          <w:p w:rsidR="000E19B9" w:rsidRPr="00BD67DF" w:rsidRDefault="000E19B9" w:rsidP="000769A4">
            <w:pPr>
              <w:overflowPunct/>
              <w:autoSpaceDE/>
              <w:autoSpaceDN/>
              <w:adjustRightInd/>
              <w:ind w:right="-61"/>
              <w:jc w:val="right"/>
              <w:textAlignment w:val="auto"/>
              <w:rPr>
                <w:color w:val="000000"/>
              </w:rPr>
            </w:pPr>
            <w:r w:rsidRPr="00BD67DF">
              <w:rPr>
                <w:color w:val="000000"/>
              </w:rPr>
              <w:t>42.5</w:t>
            </w:r>
          </w:p>
        </w:tc>
        <w:tc>
          <w:tcPr>
            <w:tcW w:w="0" w:type="auto"/>
            <w:tcBorders>
              <w:top w:val="nil"/>
              <w:left w:val="nil"/>
              <w:bottom w:val="nil"/>
              <w:right w:val="nil"/>
            </w:tcBorders>
            <w:shd w:val="clear" w:color="auto" w:fill="auto"/>
            <w:noWrap/>
            <w:vAlign w:val="bottom"/>
            <w:hideMark/>
          </w:tcPr>
          <w:p w:rsidR="000E19B9" w:rsidRPr="00BD67DF" w:rsidRDefault="000E19B9" w:rsidP="000769A4">
            <w:pPr>
              <w:overflowPunct/>
              <w:autoSpaceDE/>
              <w:autoSpaceDN/>
              <w:adjustRightInd/>
              <w:ind w:left="-107"/>
              <w:textAlignment w:val="auto"/>
              <w:rPr>
                <w:color w:val="000000"/>
              </w:rPr>
            </w:pPr>
            <w:r w:rsidRPr="00BD67DF">
              <w:rPr>
                <w:color w:val="000000"/>
                <w:vertAlign w:val="superscript"/>
              </w:rPr>
              <w:t>***</w:t>
            </w:r>
          </w:p>
        </w:tc>
        <w:tc>
          <w:tcPr>
            <w:tcW w:w="0" w:type="auto"/>
            <w:tcBorders>
              <w:top w:val="nil"/>
              <w:left w:val="nil"/>
              <w:bottom w:val="nil"/>
              <w:right w:val="nil"/>
            </w:tcBorders>
            <w:shd w:val="clear" w:color="auto" w:fill="auto"/>
            <w:noWrap/>
            <w:vAlign w:val="bottom"/>
            <w:hideMark/>
          </w:tcPr>
          <w:p w:rsidR="000E19B9" w:rsidRPr="00BD67DF" w:rsidRDefault="000E19B9" w:rsidP="000769A4">
            <w:pPr>
              <w:overflowPunct/>
              <w:autoSpaceDE/>
              <w:autoSpaceDN/>
              <w:adjustRightInd/>
              <w:ind w:right="-83"/>
              <w:jc w:val="right"/>
              <w:textAlignment w:val="auto"/>
              <w:rPr>
                <w:color w:val="000000"/>
              </w:rPr>
            </w:pPr>
            <w:r w:rsidRPr="00BD67DF">
              <w:rPr>
                <w:color w:val="000000"/>
              </w:rPr>
              <w:t>41.0</w:t>
            </w:r>
          </w:p>
        </w:tc>
        <w:tc>
          <w:tcPr>
            <w:tcW w:w="0" w:type="auto"/>
            <w:tcBorders>
              <w:top w:val="nil"/>
              <w:left w:val="nil"/>
              <w:bottom w:val="nil"/>
              <w:right w:val="nil"/>
            </w:tcBorders>
            <w:shd w:val="clear" w:color="auto" w:fill="auto"/>
            <w:noWrap/>
            <w:vAlign w:val="bottom"/>
            <w:hideMark/>
          </w:tcPr>
          <w:p w:rsidR="000E19B9" w:rsidRPr="00BD67DF" w:rsidRDefault="000E19B9" w:rsidP="000769A4">
            <w:pPr>
              <w:overflowPunct/>
              <w:autoSpaceDE/>
              <w:autoSpaceDN/>
              <w:adjustRightInd/>
              <w:ind w:left="-92"/>
              <w:textAlignment w:val="auto"/>
              <w:rPr>
                <w:color w:val="000000"/>
              </w:rPr>
            </w:pPr>
            <w:r w:rsidRPr="00BD67DF">
              <w:rPr>
                <w:color w:val="000000"/>
                <w:vertAlign w:val="superscript"/>
              </w:rPr>
              <w:t>***</w:t>
            </w:r>
          </w:p>
        </w:tc>
      </w:tr>
      <w:tr w:rsidR="000E19B9" w:rsidRPr="00BD67DF" w:rsidTr="00BD67DF">
        <w:trPr>
          <w:trHeight w:val="20"/>
        </w:trPr>
        <w:tc>
          <w:tcPr>
            <w:tcW w:w="0" w:type="auto"/>
            <w:tcBorders>
              <w:top w:val="nil"/>
              <w:left w:val="nil"/>
              <w:bottom w:val="nil"/>
              <w:right w:val="nil"/>
            </w:tcBorders>
            <w:shd w:val="clear" w:color="auto" w:fill="auto"/>
            <w:noWrap/>
            <w:vAlign w:val="bottom"/>
            <w:hideMark/>
          </w:tcPr>
          <w:p w:rsidR="000E19B9" w:rsidRPr="00BD67DF" w:rsidRDefault="000E19B9" w:rsidP="00BD67DF">
            <w:pPr>
              <w:overflowPunct/>
              <w:autoSpaceDE/>
              <w:autoSpaceDN/>
              <w:adjustRightInd/>
              <w:textAlignment w:val="auto"/>
              <w:rPr>
                <w:color w:val="000000"/>
              </w:rPr>
            </w:pPr>
            <w:r w:rsidRPr="00BD67DF">
              <w:rPr>
                <w:color w:val="000000"/>
              </w:rPr>
              <w:t xml:space="preserve">Capital Gains, </w:t>
            </w:r>
            <w:r w:rsidRPr="00BD67DF">
              <w:rPr>
                <w:i/>
                <w:iCs/>
                <w:color w:val="000000"/>
              </w:rPr>
              <w:t>c</w:t>
            </w:r>
          </w:p>
        </w:tc>
        <w:tc>
          <w:tcPr>
            <w:tcW w:w="0" w:type="auto"/>
            <w:tcBorders>
              <w:top w:val="nil"/>
              <w:left w:val="nil"/>
              <w:bottom w:val="nil"/>
              <w:right w:val="nil"/>
            </w:tcBorders>
            <w:shd w:val="clear" w:color="auto" w:fill="auto"/>
            <w:noWrap/>
            <w:vAlign w:val="bottom"/>
            <w:hideMark/>
          </w:tcPr>
          <w:p w:rsidR="000E19B9" w:rsidRPr="00BD67DF" w:rsidRDefault="000E19B9" w:rsidP="000769A4">
            <w:pPr>
              <w:overflowPunct/>
              <w:autoSpaceDE/>
              <w:autoSpaceDN/>
              <w:adjustRightInd/>
              <w:ind w:right="-24"/>
              <w:jc w:val="right"/>
              <w:textAlignment w:val="auto"/>
              <w:rPr>
                <w:color w:val="000000"/>
              </w:rPr>
            </w:pPr>
            <w:r w:rsidRPr="00BD67DF">
              <w:rPr>
                <w:color w:val="000000"/>
              </w:rPr>
              <w:t>18.4</w:t>
            </w:r>
          </w:p>
        </w:tc>
        <w:tc>
          <w:tcPr>
            <w:tcW w:w="0" w:type="auto"/>
            <w:tcBorders>
              <w:top w:val="nil"/>
              <w:left w:val="nil"/>
              <w:bottom w:val="nil"/>
              <w:right w:val="nil"/>
            </w:tcBorders>
            <w:shd w:val="clear" w:color="auto" w:fill="auto"/>
            <w:noWrap/>
            <w:vAlign w:val="bottom"/>
            <w:hideMark/>
          </w:tcPr>
          <w:p w:rsidR="000E19B9" w:rsidRPr="00BD67DF" w:rsidRDefault="000E19B9" w:rsidP="000769A4">
            <w:pPr>
              <w:overflowPunct/>
              <w:autoSpaceDE/>
              <w:autoSpaceDN/>
              <w:adjustRightInd/>
              <w:ind w:left="-122"/>
              <w:textAlignment w:val="auto"/>
              <w:rPr>
                <w:color w:val="000000"/>
              </w:rPr>
            </w:pPr>
            <w:r w:rsidRPr="00BD67DF">
              <w:rPr>
                <w:color w:val="000000"/>
                <w:vertAlign w:val="superscript"/>
              </w:rPr>
              <w:t>***</w:t>
            </w:r>
          </w:p>
        </w:tc>
        <w:tc>
          <w:tcPr>
            <w:tcW w:w="0" w:type="auto"/>
            <w:tcBorders>
              <w:top w:val="nil"/>
              <w:left w:val="nil"/>
              <w:bottom w:val="nil"/>
              <w:right w:val="nil"/>
            </w:tcBorders>
            <w:shd w:val="clear" w:color="auto" w:fill="auto"/>
            <w:noWrap/>
            <w:vAlign w:val="bottom"/>
            <w:hideMark/>
          </w:tcPr>
          <w:p w:rsidR="000E19B9" w:rsidRPr="00BD67DF" w:rsidRDefault="000E19B9" w:rsidP="000769A4">
            <w:pPr>
              <w:overflowPunct/>
              <w:autoSpaceDE/>
              <w:autoSpaceDN/>
              <w:adjustRightInd/>
              <w:ind w:right="-61"/>
              <w:jc w:val="right"/>
              <w:textAlignment w:val="auto"/>
              <w:rPr>
                <w:color w:val="000000"/>
              </w:rPr>
            </w:pPr>
            <w:r w:rsidRPr="00BD67DF">
              <w:rPr>
                <w:color w:val="000000"/>
              </w:rPr>
              <w:t>17.0</w:t>
            </w:r>
          </w:p>
        </w:tc>
        <w:tc>
          <w:tcPr>
            <w:tcW w:w="0" w:type="auto"/>
            <w:tcBorders>
              <w:top w:val="nil"/>
              <w:left w:val="nil"/>
              <w:bottom w:val="nil"/>
              <w:right w:val="nil"/>
            </w:tcBorders>
            <w:shd w:val="clear" w:color="auto" w:fill="auto"/>
            <w:noWrap/>
            <w:vAlign w:val="bottom"/>
            <w:hideMark/>
          </w:tcPr>
          <w:p w:rsidR="000E19B9" w:rsidRPr="00BD67DF" w:rsidRDefault="000E19B9" w:rsidP="000769A4">
            <w:pPr>
              <w:overflowPunct/>
              <w:autoSpaceDE/>
              <w:autoSpaceDN/>
              <w:adjustRightInd/>
              <w:ind w:left="-107"/>
              <w:textAlignment w:val="auto"/>
              <w:rPr>
                <w:color w:val="000000"/>
              </w:rPr>
            </w:pPr>
            <w:r w:rsidRPr="00BD67DF">
              <w:rPr>
                <w:color w:val="000000"/>
                <w:vertAlign w:val="superscript"/>
              </w:rPr>
              <w:t>***</w:t>
            </w:r>
          </w:p>
        </w:tc>
        <w:tc>
          <w:tcPr>
            <w:tcW w:w="0" w:type="auto"/>
            <w:tcBorders>
              <w:top w:val="nil"/>
              <w:left w:val="nil"/>
              <w:bottom w:val="nil"/>
              <w:right w:val="nil"/>
            </w:tcBorders>
            <w:shd w:val="clear" w:color="auto" w:fill="auto"/>
            <w:noWrap/>
            <w:vAlign w:val="bottom"/>
            <w:hideMark/>
          </w:tcPr>
          <w:p w:rsidR="000E19B9" w:rsidRPr="00BD67DF" w:rsidRDefault="000E19B9" w:rsidP="000769A4">
            <w:pPr>
              <w:overflowPunct/>
              <w:autoSpaceDE/>
              <w:autoSpaceDN/>
              <w:adjustRightInd/>
              <w:ind w:right="-83"/>
              <w:jc w:val="right"/>
              <w:textAlignment w:val="auto"/>
              <w:rPr>
                <w:color w:val="000000"/>
              </w:rPr>
            </w:pPr>
            <w:r w:rsidRPr="00BD67DF">
              <w:rPr>
                <w:color w:val="000000"/>
              </w:rPr>
              <w:t>1.6</w:t>
            </w:r>
          </w:p>
        </w:tc>
        <w:tc>
          <w:tcPr>
            <w:tcW w:w="0" w:type="auto"/>
            <w:tcBorders>
              <w:top w:val="nil"/>
              <w:left w:val="nil"/>
              <w:bottom w:val="nil"/>
              <w:right w:val="nil"/>
            </w:tcBorders>
            <w:shd w:val="clear" w:color="auto" w:fill="auto"/>
            <w:noWrap/>
            <w:vAlign w:val="bottom"/>
            <w:hideMark/>
          </w:tcPr>
          <w:p w:rsidR="000E19B9" w:rsidRPr="00BD67DF" w:rsidRDefault="000E19B9" w:rsidP="000769A4">
            <w:pPr>
              <w:overflowPunct/>
              <w:autoSpaceDE/>
              <w:autoSpaceDN/>
              <w:adjustRightInd/>
              <w:ind w:left="-92"/>
              <w:textAlignment w:val="auto"/>
              <w:rPr>
                <w:color w:val="000000"/>
              </w:rPr>
            </w:pPr>
          </w:p>
        </w:tc>
      </w:tr>
      <w:tr w:rsidR="000E19B9" w:rsidRPr="00BD67DF" w:rsidTr="00BD67DF">
        <w:trPr>
          <w:trHeight w:val="20"/>
        </w:trPr>
        <w:tc>
          <w:tcPr>
            <w:tcW w:w="0" w:type="auto"/>
            <w:tcBorders>
              <w:top w:val="nil"/>
              <w:left w:val="nil"/>
              <w:right w:val="nil"/>
            </w:tcBorders>
            <w:shd w:val="clear" w:color="auto" w:fill="auto"/>
            <w:noWrap/>
            <w:vAlign w:val="bottom"/>
            <w:hideMark/>
          </w:tcPr>
          <w:p w:rsidR="000E19B9" w:rsidRPr="00BD67DF" w:rsidRDefault="000E19B9" w:rsidP="00BD67DF">
            <w:pPr>
              <w:overflowPunct/>
              <w:autoSpaceDE/>
              <w:autoSpaceDN/>
              <w:adjustRightInd/>
              <w:textAlignment w:val="auto"/>
              <w:rPr>
                <w:color w:val="000000"/>
              </w:rPr>
            </w:pPr>
            <w:r w:rsidRPr="00BD67DF">
              <w:rPr>
                <w:color w:val="000000"/>
              </w:rPr>
              <w:t xml:space="preserve">CRE Tightening, </w:t>
            </w:r>
            <w:r w:rsidRPr="00BD67DF">
              <w:rPr>
                <w:i/>
                <w:iCs/>
                <w:color w:val="000000"/>
              </w:rPr>
              <w:t>z</w:t>
            </w:r>
          </w:p>
        </w:tc>
        <w:tc>
          <w:tcPr>
            <w:tcW w:w="0" w:type="auto"/>
            <w:tcBorders>
              <w:top w:val="nil"/>
              <w:left w:val="nil"/>
              <w:right w:val="nil"/>
            </w:tcBorders>
            <w:shd w:val="clear" w:color="auto" w:fill="auto"/>
            <w:noWrap/>
            <w:vAlign w:val="bottom"/>
            <w:hideMark/>
          </w:tcPr>
          <w:p w:rsidR="000E19B9" w:rsidRPr="00BD67DF" w:rsidRDefault="000E19B9" w:rsidP="000769A4">
            <w:pPr>
              <w:overflowPunct/>
              <w:autoSpaceDE/>
              <w:autoSpaceDN/>
              <w:adjustRightInd/>
              <w:ind w:right="-24"/>
              <w:jc w:val="right"/>
              <w:textAlignment w:val="auto"/>
              <w:rPr>
                <w:color w:val="000000"/>
              </w:rPr>
            </w:pPr>
            <w:r w:rsidRPr="00BD67DF">
              <w:rPr>
                <w:color w:val="000000"/>
              </w:rPr>
              <w:t>7.8</w:t>
            </w:r>
          </w:p>
        </w:tc>
        <w:tc>
          <w:tcPr>
            <w:tcW w:w="0" w:type="auto"/>
            <w:tcBorders>
              <w:top w:val="nil"/>
              <w:left w:val="nil"/>
              <w:right w:val="nil"/>
            </w:tcBorders>
            <w:shd w:val="clear" w:color="auto" w:fill="auto"/>
            <w:noWrap/>
            <w:vAlign w:val="bottom"/>
            <w:hideMark/>
          </w:tcPr>
          <w:p w:rsidR="000E19B9" w:rsidRPr="000769A4" w:rsidRDefault="000E19B9" w:rsidP="000769A4">
            <w:pPr>
              <w:overflowPunct/>
              <w:autoSpaceDE/>
              <w:autoSpaceDN/>
              <w:adjustRightInd/>
              <w:ind w:left="-122"/>
              <w:textAlignment w:val="auto"/>
              <w:rPr>
                <w:color w:val="000000"/>
                <w:vertAlign w:val="superscript"/>
              </w:rPr>
            </w:pPr>
            <w:r w:rsidRPr="00BD67DF">
              <w:rPr>
                <w:color w:val="000000"/>
                <w:vertAlign w:val="superscript"/>
              </w:rPr>
              <w:t>**</w:t>
            </w:r>
          </w:p>
        </w:tc>
        <w:tc>
          <w:tcPr>
            <w:tcW w:w="0" w:type="auto"/>
            <w:tcBorders>
              <w:top w:val="nil"/>
              <w:left w:val="nil"/>
              <w:right w:val="nil"/>
            </w:tcBorders>
            <w:shd w:val="clear" w:color="auto" w:fill="auto"/>
            <w:noWrap/>
            <w:vAlign w:val="bottom"/>
            <w:hideMark/>
          </w:tcPr>
          <w:p w:rsidR="000E19B9" w:rsidRPr="00BD67DF" w:rsidRDefault="000E19B9" w:rsidP="000769A4">
            <w:pPr>
              <w:overflowPunct/>
              <w:autoSpaceDE/>
              <w:autoSpaceDN/>
              <w:adjustRightInd/>
              <w:ind w:right="-61"/>
              <w:jc w:val="right"/>
              <w:textAlignment w:val="auto"/>
              <w:rPr>
                <w:color w:val="000000"/>
              </w:rPr>
            </w:pPr>
            <w:r w:rsidRPr="00BD67DF">
              <w:rPr>
                <w:color w:val="000000"/>
              </w:rPr>
              <w:t>6.9</w:t>
            </w:r>
          </w:p>
        </w:tc>
        <w:tc>
          <w:tcPr>
            <w:tcW w:w="0" w:type="auto"/>
            <w:tcBorders>
              <w:top w:val="nil"/>
              <w:left w:val="nil"/>
              <w:right w:val="nil"/>
            </w:tcBorders>
            <w:shd w:val="clear" w:color="auto" w:fill="auto"/>
            <w:noWrap/>
            <w:vAlign w:val="bottom"/>
            <w:hideMark/>
          </w:tcPr>
          <w:p w:rsidR="000E19B9" w:rsidRPr="00BD67DF" w:rsidRDefault="000E19B9" w:rsidP="000769A4">
            <w:pPr>
              <w:overflowPunct/>
              <w:autoSpaceDE/>
              <w:autoSpaceDN/>
              <w:adjustRightInd/>
              <w:ind w:left="-107"/>
              <w:textAlignment w:val="auto"/>
              <w:rPr>
                <w:color w:val="000000"/>
              </w:rPr>
            </w:pPr>
            <w:r w:rsidRPr="00BD67DF">
              <w:rPr>
                <w:color w:val="000000"/>
                <w:vertAlign w:val="superscript"/>
              </w:rPr>
              <w:t>**</w:t>
            </w:r>
          </w:p>
        </w:tc>
        <w:tc>
          <w:tcPr>
            <w:tcW w:w="0" w:type="auto"/>
            <w:tcBorders>
              <w:top w:val="nil"/>
              <w:left w:val="nil"/>
              <w:right w:val="nil"/>
            </w:tcBorders>
            <w:shd w:val="clear" w:color="auto" w:fill="auto"/>
            <w:noWrap/>
            <w:vAlign w:val="bottom"/>
            <w:hideMark/>
          </w:tcPr>
          <w:p w:rsidR="000E19B9" w:rsidRPr="00BD67DF" w:rsidRDefault="000E19B9" w:rsidP="00BD67DF">
            <w:pPr>
              <w:overflowPunct/>
              <w:autoSpaceDE/>
              <w:autoSpaceDN/>
              <w:adjustRightInd/>
              <w:textAlignment w:val="auto"/>
              <w:rPr>
                <w:color w:val="000000"/>
              </w:rPr>
            </w:pPr>
          </w:p>
        </w:tc>
        <w:tc>
          <w:tcPr>
            <w:tcW w:w="0" w:type="auto"/>
            <w:tcBorders>
              <w:top w:val="nil"/>
              <w:left w:val="nil"/>
              <w:right w:val="nil"/>
            </w:tcBorders>
            <w:shd w:val="clear" w:color="auto" w:fill="auto"/>
            <w:noWrap/>
            <w:vAlign w:val="bottom"/>
            <w:hideMark/>
          </w:tcPr>
          <w:p w:rsidR="000E19B9" w:rsidRPr="00BD67DF" w:rsidRDefault="000E19B9" w:rsidP="00BD67DF">
            <w:pPr>
              <w:overflowPunct/>
              <w:autoSpaceDE/>
              <w:autoSpaceDN/>
              <w:adjustRightInd/>
              <w:textAlignment w:val="auto"/>
              <w:rPr>
                <w:color w:val="000000"/>
              </w:rPr>
            </w:pPr>
          </w:p>
        </w:tc>
      </w:tr>
      <w:tr w:rsidR="000E19B9" w:rsidRPr="00BD67DF" w:rsidTr="00BD67DF">
        <w:trPr>
          <w:trHeight w:val="20"/>
        </w:trPr>
        <w:tc>
          <w:tcPr>
            <w:tcW w:w="0" w:type="auto"/>
            <w:tcBorders>
              <w:top w:val="nil"/>
              <w:left w:val="nil"/>
              <w:bottom w:val="single" w:sz="12" w:space="0" w:color="auto"/>
              <w:right w:val="nil"/>
            </w:tcBorders>
            <w:shd w:val="clear" w:color="auto" w:fill="auto"/>
            <w:noWrap/>
            <w:vAlign w:val="bottom"/>
            <w:hideMark/>
          </w:tcPr>
          <w:p w:rsidR="000E19B9" w:rsidRPr="00BD67DF" w:rsidRDefault="000E19B9" w:rsidP="00BD67DF">
            <w:pPr>
              <w:overflowPunct/>
              <w:autoSpaceDE/>
              <w:autoSpaceDN/>
              <w:adjustRightInd/>
              <w:spacing w:after="80"/>
              <w:textAlignment w:val="auto"/>
              <w:rPr>
                <w:color w:val="000000"/>
              </w:rPr>
            </w:pPr>
            <w:r w:rsidRPr="00BD67DF">
              <w:rPr>
                <w:color w:val="000000"/>
              </w:rPr>
              <w:t xml:space="preserve">Volume, </w:t>
            </w:r>
            <w:r w:rsidRPr="00BD67DF">
              <w:rPr>
                <w:i/>
                <w:iCs/>
                <w:color w:val="000000"/>
              </w:rPr>
              <w:t>v</w:t>
            </w:r>
          </w:p>
        </w:tc>
        <w:tc>
          <w:tcPr>
            <w:tcW w:w="0" w:type="auto"/>
            <w:tcBorders>
              <w:top w:val="nil"/>
              <w:left w:val="nil"/>
              <w:bottom w:val="single" w:sz="12" w:space="0" w:color="auto"/>
              <w:right w:val="nil"/>
            </w:tcBorders>
            <w:shd w:val="clear" w:color="auto" w:fill="auto"/>
            <w:noWrap/>
            <w:vAlign w:val="bottom"/>
            <w:hideMark/>
          </w:tcPr>
          <w:p w:rsidR="000E19B9" w:rsidRPr="00BD67DF" w:rsidRDefault="000E19B9" w:rsidP="000769A4">
            <w:pPr>
              <w:overflowPunct/>
              <w:autoSpaceDE/>
              <w:autoSpaceDN/>
              <w:adjustRightInd/>
              <w:spacing w:after="80"/>
              <w:ind w:right="-24"/>
              <w:jc w:val="right"/>
              <w:textAlignment w:val="auto"/>
              <w:rPr>
                <w:color w:val="000000"/>
              </w:rPr>
            </w:pPr>
            <w:r w:rsidRPr="00BD67DF">
              <w:rPr>
                <w:color w:val="000000"/>
              </w:rPr>
              <w:t>15.4</w:t>
            </w:r>
          </w:p>
        </w:tc>
        <w:tc>
          <w:tcPr>
            <w:tcW w:w="0" w:type="auto"/>
            <w:tcBorders>
              <w:top w:val="nil"/>
              <w:left w:val="nil"/>
              <w:bottom w:val="single" w:sz="12" w:space="0" w:color="auto"/>
              <w:right w:val="nil"/>
            </w:tcBorders>
            <w:shd w:val="clear" w:color="auto" w:fill="auto"/>
            <w:noWrap/>
            <w:vAlign w:val="bottom"/>
            <w:hideMark/>
          </w:tcPr>
          <w:p w:rsidR="000E19B9" w:rsidRPr="00BD67DF" w:rsidRDefault="000E19B9" w:rsidP="000769A4">
            <w:pPr>
              <w:overflowPunct/>
              <w:autoSpaceDE/>
              <w:autoSpaceDN/>
              <w:adjustRightInd/>
              <w:spacing w:after="80"/>
              <w:ind w:left="-122"/>
              <w:textAlignment w:val="auto"/>
              <w:rPr>
                <w:color w:val="000000"/>
              </w:rPr>
            </w:pPr>
            <w:r w:rsidRPr="00BD67DF">
              <w:rPr>
                <w:color w:val="000000"/>
                <w:vertAlign w:val="superscript"/>
              </w:rPr>
              <w:t>***</w:t>
            </w:r>
          </w:p>
        </w:tc>
        <w:tc>
          <w:tcPr>
            <w:tcW w:w="0" w:type="auto"/>
            <w:tcBorders>
              <w:top w:val="nil"/>
              <w:left w:val="nil"/>
              <w:bottom w:val="single" w:sz="12" w:space="0" w:color="auto"/>
              <w:right w:val="nil"/>
            </w:tcBorders>
            <w:shd w:val="clear" w:color="auto" w:fill="auto"/>
            <w:noWrap/>
            <w:vAlign w:val="bottom"/>
            <w:hideMark/>
          </w:tcPr>
          <w:p w:rsidR="000E19B9" w:rsidRPr="00BD67DF" w:rsidRDefault="000E19B9" w:rsidP="000769A4">
            <w:pPr>
              <w:overflowPunct/>
              <w:autoSpaceDE/>
              <w:autoSpaceDN/>
              <w:adjustRightInd/>
              <w:ind w:right="-61"/>
              <w:jc w:val="right"/>
              <w:textAlignment w:val="auto"/>
              <w:rPr>
                <w:color w:val="000000"/>
              </w:rPr>
            </w:pPr>
          </w:p>
        </w:tc>
        <w:tc>
          <w:tcPr>
            <w:tcW w:w="0" w:type="auto"/>
            <w:tcBorders>
              <w:top w:val="nil"/>
              <w:left w:val="nil"/>
              <w:bottom w:val="single" w:sz="12" w:space="0" w:color="auto"/>
              <w:right w:val="nil"/>
            </w:tcBorders>
            <w:shd w:val="clear" w:color="auto" w:fill="auto"/>
            <w:noWrap/>
            <w:vAlign w:val="bottom"/>
            <w:hideMark/>
          </w:tcPr>
          <w:p w:rsidR="000E19B9" w:rsidRPr="00BD67DF" w:rsidRDefault="000E19B9" w:rsidP="00544587">
            <w:pPr>
              <w:overflowPunct/>
              <w:autoSpaceDE/>
              <w:autoSpaceDN/>
              <w:adjustRightInd/>
              <w:textAlignment w:val="auto"/>
              <w:rPr>
                <w:color w:val="000000"/>
              </w:rPr>
            </w:pPr>
          </w:p>
        </w:tc>
        <w:tc>
          <w:tcPr>
            <w:tcW w:w="0" w:type="auto"/>
            <w:tcBorders>
              <w:top w:val="nil"/>
              <w:left w:val="nil"/>
              <w:bottom w:val="single" w:sz="12" w:space="0" w:color="auto"/>
              <w:right w:val="nil"/>
            </w:tcBorders>
            <w:shd w:val="clear" w:color="auto" w:fill="auto"/>
            <w:noWrap/>
            <w:vAlign w:val="bottom"/>
            <w:hideMark/>
          </w:tcPr>
          <w:p w:rsidR="000E19B9" w:rsidRPr="00BD67DF" w:rsidRDefault="000E19B9" w:rsidP="00544587">
            <w:pPr>
              <w:overflowPunct/>
              <w:autoSpaceDE/>
              <w:autoSpaceDN/>
              <w:adjustRightInd/>
              <w:jc w:val="right"/>
              <w:textAlignment w:val="auto"/>
              <w:rPr>
                <w:color w:val="000000"/>
              </w:rPr>
            </w:pPr>
          </w:p>
        </w:tc>
        <w:tc>
          <w:tcPr>
            <w:tcW w:w="0" w:type="auto"/>
            <w:tcBorders>
              <w:top w:val="nil"/>
              <w:left w:val="nil"/>
              <w:bottom w:val="single" w:sz="12" w:space="0" w:color="auto"/>
              <w:right w:val="nil"/>
            </w:tcBorders>
            <w:shd w:val="clear" w:color="auto" w:fill="auto"/>
            <w:noWrap/>
            <w:vAlign w:val="bottom"/>
            <w:hideMark/>
          </w:tcPr>
          <w:p w:rsidR="000E19B9" w:rsidRPr="00BD67DF" w:rsidRDefault="000E19B9" w:rsidP="00544587">
            <w:pPr>
              <w:overflowPunct/>
              <w:autoSpaceDE/>
              <w:autoSpaceDN/>
              <w:adjustRightInd/>
              <w:textAlignment w:val="auto"/>
              <w:rPr>
                <w:color w:val="000000"/>
              </w:rPr>
            </w:pPr>
          </w:p>
        </w:tc>
      </w:tr>
    </w:tbl>
    <w:p w:rsidR="004B342A" w:rsidRPr="00E54A22" w:rsidRDefault="000769A4" w:rsidP="00E54A22">
      <w:pPr>
        <w:overflowPunct/>
        <w:autoSpaceDE/>
        <w:autoSpaceDN/>
        <w:adjustRightInd/>
        <w:spacing w:before="120" w:line="216" w:lineRule="auto"/>
        <w:ind w:right="2700"/>
        <w:jc w:val="both"/>
        <w:textAlignment w:val="auto"/>
        <w:rPr>
          <w:iCs/>
          <w:color w:val="000000"/>
        </w:rPr>
      </w:pPr>
      <w:r w:rsidRPr="004B342A">
        <w:rPr>
          <w:i/>
        </w:rPr>
        <w:t>Notes:</w:t>
      </w:r>
      <w:r w:rsidRPr="004B342A">
        <w:t xml:space="preserve"> This table summarizes the results of the time series due diligence tests</w:t>
      </w:r>
      <w:r w:rsidR="004B342A" w:rsidRPr="004B342A">
        <w:t xml:space="preserve"> conducted on the series for Income Returns (</w:t>
      </w:r>
      <w:r w:rsidR="004B342A" w:rsidRPr="004B342A">
        <w:rPr>
          <w:i/>
          <w:iCs/>
        </w:rPr>
        <w:t>y</w:t>
      </w:r>
      <w:r w:rsidR="004B342A" w:rsidRPr="004B342A">
        <w:rPr>
          <w:iCs/>
        </w:rPr>
        <w:t xml:space="preserve">), </w:t>
      </w:r>
      <w:r w:rsidR="004B342A" w:rsidRPr="004B342A">
        <w:t>Capital Gains (</w:t>
      </w:r>
      <w:r w:rsidR="004B342A" w:rsidRPr="004B342A">
        <w:rPr>
          <w:i/>
          <w:iCs/>
        </w:rPr>
        <w:t>c</w:t>
      </w:r>
      <w:r w:rsidR="004B342A" w:rsidRPr="004B342A">
        <w:rPr>
          <w:iCs/>
        </w:rPr>
        <w:t xml:space="preserve">), </w:t>
      </w:r>
      <w:r w:rsidR="004B342A" w:rsidRPr="004B342A">
        <w:t>CRE Tightening (</w:t>
      </w:r>
      <w:r w:rsidR="004B342A" w:rsidRPr="004B342A">
        <w:rPr>
          <w:i/>
          <w:iCs/>
        </w:rPr>
        <w:t>z</w:t>
      </w:r>
      <w:r w:rsidR="004B342A" w:rsidRPr="004B342A">
        <w:rPr>
          <w:iCs/>
        </w:rPr>
        <w:t>), and</w:t>
      </w:r>
      <w:r w:rsidR="004B342A" w:rsidRPr="004B342A">
        <w:rPr>
          <w:i/>
          <w:iCs/>
        </w:rPr>
        <w:t xml:space="preserve"> </w:t>
      </w:r>
      <w:r w:rsidR="004B342A" w:rsidRPr="004B342A">
        <w:t>Volume (</w:t>
      </w:r>
      <w:r w:rsidR="004B342A" w:rsidRPr="004B342A">
        <w:rPr>
          <w:i/>
          <w:iCs/>
        </w:rPr>
        <w:t>v</w:t>
      </w:r>
      <w:r w:rsidR="004B342A" w:rsidRPr="004B342A">
        <w:rPr>
          <w:iCs/>
        </w:rPr>
        <w:t xml:space="preserve">). All variables are described in the notes to </w:t>
      </w:r>
      <w:r w:rsidR="004B342A">
        <w:rPr>
          <w:iCs/>
          <w:color w:val="000000"/>
        </w:rPr>
        <w:t xml:space="preserve">Table 1. Panel A provides the conclusion based on the </w:t>
      </w:r>
      <w:r w:rsidR="00E54A22">
        <w:rPr>
          <w:iCs/>
          <w:color w:val="000000"/>
        </w:rPr>
        <w:t>A</w:t>
      </w:r>
      <w:r w:rsidR="004B342A">
        <w:rPr>
          <w:iCs/>
          <w:color w:val="000000"/>
        </w:rPr>
        <w:t>ugmented Dickey</w:t>
      </w:r>
      <w:r w:rsidR="00E54A22">
        <w:rPr>
          <w:iCs/>
          <w:color w:val="000000"/>
        </w:rPr>
        <w:t>–</w:t>
      </w:r>
      <w:r w:rsidR="004B342A">
        <w:rPr>
          <w:iCs/>
          <w:color w:val="000000"/>
        </w:rPr>
        <w:t xml:space="preserve">Fuller </w:t>
      </w:r>
      <w:r w:rsidR="00F52969">
        <w:rPr>
          <w:iCs/>
          <w:color w:val="000000"/>
        </w:rPr>
        <w:t xml:space="preserve">(1981) </w:t>
      </w:r>
      <w:r w:rsidR="004B342A">
        <w:rPr>
          <w:iCs/>
          <w:color w:val="000000"/>
        </w:rPr>
        <w:t>unit root tests</w:t>
      </w:r>
      <w:r w:rsidR="00E54A22">
        <w:rPr>
          <w:iCs/>
          <w:color w:val="000000"/>
        </w:rPr>
        <w:t xml:space="preserve">, considering zero mean, </w:t>
      </w:r>
      <w:r w:rsidR="00C20F9E">
        <w:rPr>
          <w:iCs/>
          <w:color w:val="000000"/>
        </w:rPr>
        <w:t>constant</w:t>
      </w:r>
      <w:r w:rsidR="005B12FA">
        <w:rPr>
          <w:iCs/>
          <w:color w:val="000000"/>
        </w:rPr>
        <w:t xml:space="preserve"> term</w:t>
      </w:r>
      <w:r w:rsidR="00E54A22">
        <w:rPr>
          <w:iCs/>
          <w:color w:val="000000"/>
        </w:rPr>
        <w:t xml:space="preserve">, and </w:t>
      </w:r>
      <w:r w:rsidR="00C20F9E">
        <w:rPr>
          <w:iCs/>
          <w:color w:val="000000"/>
        </w:rPr>
        <w:t xml:space="preserve">time </w:t>
      </w:r>
      <w:r w:rsidR="00E54A22">
        <w:rPr>
          <w:iCs/>
          <w:color w:val="000000"/>
        </w:rPr>
        <w:t>trend versions at (-1,-4) lags</w:t>
      </w:r>
      <w:r w:rsidR="004B342A">
        <w:rPr>
          <w:iCs/>
          <w:color w:val="000000"/>
        </w:rPr>
        <w:t xml:space="preserve"> for each measure. I</w:t>
      </w:r>
      <w:r w:rsidR="005B12FA">
        <w:rPr>
          <w:iCs/>
          <w:color w:val="000000"/>
        </w:rPr>
        <w:t>(1) indicates that the variable</w:t>
      </w:r>
      <w:r w:rsidR="004B342A">
        <w:rPr>
          <w:iCs/>
          <w:color w:val="000000"/>
        </w:rPr>
        <w:t xml:space="preserve"> </w:t>
      </w:r>
      <w:r w:rsidR="005B12FA">
        <w:rPr>
          <w:iCs/>
          <w:color w:val="000000"/>
        </w:rPr>
        <w:t xml:space="preserve">is </w:t>
      </w:r>
      <w:r w:rsidR="00E54A22">
        <w:rPr>
          <w:iCs/>
          <w:color w:val="000000"/>
        </w:rPr>
        <w:t>stationary after first-differencing</w:t>
      </w:r>
      <w:r w:rsidR="004B342A">
        <w:rPr>
          <w:iCs/>
          <w:color w:val="000000"/>
        </w:rPr>
        <w:t xml:space="preserve">. Panel B </w:t>
      </w:r>
      <w:r w:rsidR="00E54A22">
        <w:rPr>
          <w:iCs/>
          <w:color w:val="000000"/>
        </w:rPr>
        <w:t>provides the results of the Johan</w:t>
      </w:r>
      <w:r w:rsidR="00FC59F9">
        <w:rPr>
          <w:iCs/>
          <w:color w:val="000000"/>
        </w:rPr>
        <w:t>sen (1988</w:t>
      </w:r>
      <w:r w:rsidR="00E54A22">
        <w:rPr>
          <w:iCs/>
          <w:color w:val="000000"/>
        </w:rPr>
        <w:t>)</w:t>
      </w:r>
      <w:r w:rsidR="00FC59F9">
        <w:rPr>
          <w:iCs/>
          <w:color w:val="000000"/>
        </w:rPr>
        <w:t xml:space="preserve"> </w:t>
      </w:r>
      <w:r w:rsidR="00E54A22">
        <w:rPr>
          <w:iCs/>
          <w:color w:val="000000"/>
        </w:rPr>
        <w:t xml:space="preserve">cointegration rank test based on trace statistics. </w:t>
      </w:r>
      <w:r w:rsidR="00F52969" w:rsidRPr="00F52969">
        <w:rPr>
          <w:iCs/>
          <w:color w:val="000000"/>
          <w:vertAlign w:val="superscript"/>
        </w:rPr>
        <w:t>**</w:t>
      </w:r>
      <w:r w:rsidR="00F52969">
        <w:rPr>
          <w:iCs/>
          <w:color w:val="000000"/>
        </w:rPr>
        <w:t xml:space="preserve"> in Panel B indicates that, for the set of variables included in the test, the presence of rank </w:t>
      </w:r>
      <w:r w:rsidR="00F52969">
        <w:rPr>
          <w:i/>
          <w:iCs/>
          <w:color w:val="000000"/>
        </w:rPr>
        <w:t xml:space="preserve">n </w:t>
      </w:r>
      <w:r w:rsidR="00F52969">
        <w:rPr>
          <w:iCs/>
          <w:color w:val="000000"/>
        </w:rPr>
        <w:t xml:space="preserve">or fewer cointegrating vectors can be rejected at the 5% level of significance. </w:t>
      </w:r>
      <w:r w:rsidR="00E04C9C">
        <w:rPr>
          <w:iCs/>
          <w:color w:val="000000"/>
        </w:rPr>
        <w:t>Panel C provides results on</w:t>
      </w:r>
      <w:r w:rsidR="00E54A22">
        <w:rPr>
          <w:iCs/>
          <w:color w:val="000000"/>
        </w:rPr>
        <w:t xml:space="preserve"> the weak exogeneity test.</w:t>
      </w:r>
      <w:r w:rsidR="00C20F9E">
        <w:rPr>
          <w:iCs/>
          <w:color w:val="000000"/>
        </w:rPr>
        <w:t xml:space="preserve"> </w:t>
      </w:r>
      <w:r w:rsidR="00C20F9E" w:rsidRPr="00C20F9E">
        <w:rPr>
          <w:iCs/>
          <w:color w:val="000000"/>
          <w:vertAlign w:val="superscript"/>
        </w:rPr>
        <w:t>***</w:t>
      </w:r>
      <w:r w:rsidR="00C20F9E">
        <w:rPr>
          <w:iCs/>
          <w:color w:val="000000"/>
        </w:rPr>
        <w:t xml:space="preserve"> in Panel C indicates that </w:t>
      </w:r>
      <w:r w:rsidR="00481EDC">
        <w:rPr>
          <w:iCs/>
          <w:color w:val="000000"/>
        </w:rPr>
        <w:t xml:space="preserve">the </w:t>
      </w:r>
      <w:r w:rsidR="00C20F9E">
        <w:rPr>
          <w:iCs/>
          <w:color w:val="000000"/>
        </w:rPr>
        <w:t xml:space="preserve">weak exogeneity </w:t>
      </w:r>
      <w:r w:rsidR="00481EDC">
        <w:rPr>
          <w:iCs/>
          <w:color w:val="000000"/>
        </w:rPr>
        <w:t xml:space="preserve">assumption of each row variable relative to the remaining variables in the column set </w:t>
      </w:r>
      <w:r w:rsidR="00C20F9E">
        <w:rPr>
          <w:iCs/>
          <w:color w:val="000000"/>
        </w:rPr>
        <w:t>can be rejected at the 1% level of significance.</w:t>
      </w:r>
      <w:r w:rsidR="00E54A22">
        <w:rPr>
          <w:iCs/>
          <w:color w:val="000000"/>
        </w:rPr>
        <w:t xml:space="preserve"> Panel D provides results of </w:t>
      </w:r>
      <w:r w:rsidR="00F52969">
        <w:rPr>
          <w:iCs/>
          <w:color w:val="000000"/>
        </w:rPr>
        <w:t xml:space="preserve">the Granger </w:t>
      </w:r>
      <w:r w:rsidR="00E54A22">
        <w:rPr>
          <w:iCs/>
          <w:color w:val="000000"/>
        </w:rPr>
        <w:t>causality tests</w:t>
      </w:r>
      <w:r w:rsidR="00481EDC">
        <w:rPr>
          <w:iCs/>
          <w:color w:val="000000"/>
        </w:rPr>
        <w:t xml:space="preserve">. </w:t>
      </w:r>
      <w:r w:rsidR="00481EDC" w:rsidRPr="00481EDC">
        <w:rPr>
          <w:iCs/>
          <w:color w:val="000000"/>
          <w:vertAlign w:val="superscript"/>
        </w:rPr>
        <w:t>***</w:t>
      </w:r>
      <w:r w:rsidR="00481EDC">
        <w:rPr>
          <w:iCs/>
          <w:color w:val="000000"/>
        </w:rPr>
        <w:t xml:space="preserve"> and </w:t>
      </w:r>
      <w:r w:rsidR="00481EDC" w:rsidRPr="00481EDC">
        <w:rPr>
          <w:iCs/>
          <w:color w:val="000000"/>
          <w:vertAlign w:val="superscript"/>
        </w:rPr>
        <w:t>**</w:t>
      </w:r>
      <w:r w:rsidR="00481EDC">
        <w:rPr>
          <w:iCs/>
          <w:color w:val="000000"/>
        </w:rPr>
        <w:t xml:space="preserve"> indicate that the assumption that the row variable does cause the remaining column variables in the set, but the remaining column variables in the set do not cause the row variable can be rejected at the 1% and 5% level of significance.</w:t>
      </w:r>
      <w:r w:rsidR="008264B3">
        <w:rPr>
          <w:iCs/>
          <w:color w:val="000000"/>
        </w:rPr>
        <w:t xml:space="preserve"> </w:t>
      </w:r>
      <w:r w:rsidR="004B342A">
        <w:rPr>
          <w:iCs/>
          <w:color w:val="000000"/>
        </w:rPr>
        <w:t xml:space="preserve"> </w:t>
      </w:r>
    </w:p>
    <w:p w:rsidR="00BD67DF" w:rsidRDefault="00BD67DF">
      <w:pPr>
        <w:overflowPunct/>
        <w:autoSpaceDE/>
        <w:autoSpaceDN/>
        <w:adjustRightInd/>
        <w:spacing w:after="200" w:line="276" w:lineRule="auto"/>
        <w:textAlignment w:val="auto"/>
        <w:rPr>
          <w:b/>
          <w:sz w:val="22"/>
          <w:szCs w:val="22"/>
        </w:rPr>
      </w:pPr>
    </w:p>
    <w:p w:rsidR="00D75180" w:rsidRDefault="00D75180">
      <w:pPr>
        <w:overflowPunct/>
        <w:autoSpaceDE/>
        <w:autoSpaceDN/>
        <w:adjustRightInd/>
        <w:spacing w:after="200" w:line="276" w:lineRule="auto"/>
        <w:textAlignment w:val="auto"/>
        <w:rPr>
          <w:b/>
          <w:sz w:val="22"/>
          <w:szCs w:val="22"/>
        </w:rPr>
      </w:pPr>
    </w:p>
    <w:p w:rsidR="0093337E" w:rsidRDefault="0093337E">
      <w:pPr>
        <w:overflowPunct/>
        <w:autoSpaceDE/>
        <w:autoSpaceDN/>
        <w:adjustRightInd/>
        <w:spacing w:after="200" w:line="276" w:lineRule="auto"/>
        <w:textAlignment w:val="auto"/>
        <w:rPr>
          <w:sz w:val="22"/>
          <w:szCs w:val="22"/>
        </w:rPr>
      </w:pPr>
    </w:p>
    <w:p w:rsidR="0093337E" w:rsidRDefault="0093337E">
      <w:pPr>
        <w:overflowPunct/>
        <w:autoSpaceDE/>
        <w:autoSpaceDN/>
        <w:adjustRightInd/>
        <w:spacing w:after="200" w:line="276" w:lineRule="auto"/>
        <w:textAlignment w:val="auto"/>
        <w:rPr>
          <w:b/>
          <w:sz w:val="22"/>
          <w:szCs w:val="22"/>
        </w:rPr>
      </w:pPr>
      <w:r>
        <w:rPr>
          <w:b/>
          <w:sz w:val="22"/>
          <w:szCs w:val="22"/>
        </w:rPr>
        <w:br w:type="page"/>
      </w:r>
    </w:p>
    <w:p w:rsidR="0093337E" w:rsidRDefault="0093337E" w:rsidP="0093337E">
      <w:pPr>
        <w:overflowPunct/>
        <w:autoSpaceDE/>
        <w:autoSpaceDN/>
        <w:adjustRightInd/>
        <w:spacing w:after="200" w:line="276" w:lineRule="auto"/>
        <w:textAlignment w:val="auto"/>
        <w:rPr>
          <w:sz w:val="22"/>
          <w:szCs w:val="22"/>
        </w:rPr>
      </w:pPr>
      <w:r>
        <w:rPr>
          <w:b/>
          <w:sz w:val="22"/>
          <w:szCs w:val="22"/>
        </w:rPr>
        <w:t xml:space="preserve">Table 3.  </w:t>
      </w:r>
      <w:r w:rsidR="00B410FA">
        <w:rPr>
          <w:sz w:val="22"/>
          <w:szCs w:val="22"/>
        </w:rPr>
        <w:t>Vector e</w:t>
      </w:r>
      <w:r w:rsidR="001F61F1">
        <w:rPr>
          <w:sz w:val="22"/>
          <w:szCs w:val="22"/>
        </w:rPr>
        <w:t>rror c</w:t>
      </w:r>
      <w:r>
        <w:rPr>
          <w:sz w:val="22"/>
          <w:szCs w:val="22"/>
        </w:rPr>
        <w:t xml:space="preserve">orrection </w:t>
      </w:r>
      <w:r w:rsidR="001F61F1">
        <w:rPr>
          <w:sz w:val="22"/>
          <w:szCs w:val="22"/>
        </w:rPr>
        <w:t>m</w:t>
      </w:r>
      <w:r>
        <w:rPr>
          <w:sz w:val="22"/>
          <w:szCs w:val="22"/>
        </w:rPr>
        <w:t>odel</w:t>
      </w:r>
      <w:r w:rsidR="001F61F1">
        <w:rPr>
          <w:sz w:val="22"/>
          <w:szCs w:val="22"/>
        </w:rPr>
        <w:t xml:space="preserve"> </w:t>
      </w:r>
      <w:r w:rsidR="00A17102">
        <w:rPr>
          <w:sz w:val="22"/>
          <w:szCs w:val="22"/>
        </w:rPr>
        <w:t>(VECM)</w:t>
      </w:r>
    </w:p>
    <w:tbl>
      <w:tblPr>
        <w:tblW w:w="0" w:type="auto"/>
        <w:tblInd w:w="93" w:type="dxa"/>
        <w:tblLook w:val="04A0"/>
      </w:tblPr>
      <w:tblGrid>
        <w:gridCol w:w="2106"/>
        <w:gridCol w:w="718"/>
        <w:gridCol w:w="398"/>
        <w:gridCol w:w="750"/>
        <w:gridCol w:w="778"/>
        <w:gridCol w:w="338"/>
        <w:gridCol w:w="750"/>
      </w:tblGrid>
      <w:tr w:rsidR="000E19B9" w:rsidRPr="0093337E" w:rsidTr="000E19B9">
        <w:trPr>
          <w:trHeight w:val="144"/>
        </w:trPr>
        <w:tc>
          <w:tcPr>
            <w:tcW w:w="2106" w:type="dxa"/>
            <w:tcBorders>
              <w:top w:val="single" w:sz="12" w:space="0" w:color="auto"/>
              <w:left w:val="nil"/>
              <w:bottom w:val="double" w:sz="6" w:space="0" w:color="auto"/>
              <w:right w:val="nil"/>
            </w:tcBorders>
            <w:shd w:val="clear" w:color="000000" w:fill="FFFFFF"/>
            <w:noWrap/>
            <w:vAlign w:val="bottom"/>
            <w:hideMark/>
          </w:tcPr>
          <w:p w:rsidR="0093337E" w:rsidRPr="0093337E" w:rsidRDefault="0093337E" w:rsidP="000E19B9">
            <w:pPr>
              <w:overflowPunct/>
              <w:autoSpaceDE/>
              <w:autoSpaceDN/>
              <w:adjustRightInd/>
              <w:spacing w:before="80"/>
              <w:textAlignment w:val="auto"/>
              <w:rPr>
                <w:color w:val="000000"/>
              </w:rPr>
            </w:pPr>
            <w:r w:rsidRPr="0093337E">
              <w:rPr>
                <w:color w:val="000000"/>
              </w:rPr>
              <w:t>Variable</w:t>
            </w:r>
          </w:p>
        </w:tc>
        <w:tc>
          <w:tcPr>
            <w:tcW w:w="0" w:type="auto"/>
            <w:gridSpan w:val="2"/>
            <w:tcBorders>
              <w:top w:val="single" w:sz="12" w:space="0" w:color="auto"/>
              <w:left w:val="nil"/>
              <w:bottom w:val="double" w:sz="6" w:space="0" w:color="auto"/>
              <w:right w:val="nil"/>
            </w:tcBorders>
            <w:shd w:val="clear" w:color="000000" w:fill="FFFFFF"/>
            <w:noWrap/>
            <w:vAlign w:val="bottom"/>
            <w:hideMark/>
          </w:tcPr>
          <w:p w:rsidR="0093337E" w:rsidRPr="0093337E" w:rsidRDefault="0093337E" w:rsidP="000E19B9">
            <w:pPr>
              <w:overflowPunct/>
              <w:autoSpaceDE/>
              <w:autoSpaceDN/>
              <w:adjustRightInd/>
              <w:spacing w:before="80"/>
              <w:textAlignment w:val="auto"/>
              <w:rPr>
                <w:color w:val="000000"/>
              </w:rPr>
            </w:pPr>
            <w:r w:rsidRPr="0093337E">
              <w:rPr>
                <w:color w:val="000000"/>
              </w:rPr>
              <w:t>Coefficient</w:t>
            </w:r>
          </w:p>
        </w:tc>
        <w:tc>
          <w:tcPr>
            <w:tcW w:w="0" w:type="auto"/>
            <w:tcBorders>
              <w:top w:val="single" w:sz="12" w:space="0" w:color="auto"/>
              <w:left w:val="nil"/>
              <w:bottom w:val="double" w:sz="6" w:space="0" w:color="auto"/>
              <w:right w:val="nil"/>
            </w:tcBorders>
            <w:shd w:val="clear" w:color="000000" w:fill="FFFFFF"/>
            <w:noWrap/>
            <w:vAlign w:val="bottom"/>
            <w:hideMark/>
          </w:tcPr>
          <w:p w:rsidR="0093337E" w:rsidRPr="0093337E" w:rsidRDefault="00532660" w:rsidP="000D4BF4">
            <w:pPr>
              <w:overflowPunct/>
              <w:autoSpaceDE/>
              <w:autoSpaceDN/>
              <w:adjustRightInd/>
              <w:spacing w:before="80"/>
              <w:textAlignment w:val="auto"/>
              <w:rPr>
                <w:color w:val="000000"/>
              </w:rPr>
            </w:pPr>
            <w:r>
              <w:rPr>
                <w:color w:val="000000"/>
              </w:rPr>
              <w:t>(</w:t>
            </w:r>
            <w:r w:rsidR="0093337E" w:rsidRPr="0093337E">
              <w:rPr>
                <w:color w:val="000000"/>
              </w:rPr>
              <w:t>t-stat</w:t>
            </w:r>
            <w:r>
              <w:rPr>
                <w:color w:val="000000"/>
              </w:rPr>
              <w:t>)</w:t>
            </w:r>
          </w:p>
        </w:tc>
        <w:tc>
          <w:tcPr>
            <w:tcW w:w="0" w:type="auto"/>
            <w:gridSpan w:val="2"/>
            <w:tcBorders>
              <w:top w:val="single" w:sz="12" w:space="0" w:color="auto"/>
              <w:left w:val="nil"/>
              <w:bottom w:val="double" w:sz="6" w:space="0" w:color="auto"/>
              <w:right w:val="nil"/>
            </w:tcBorders>
            <w:shd w:val="clear" w:color="000000" w:fill="FFFFFF"/>
            <w:noWrap/>
            <w:vAlign w:val="bottom"/>
            <w:hideMark/>
          </w:tcPr>
          <w:p w:rsidR="0093337E" w:rsidRPr="0093337E" w:rsidRDefault="0093337E" w:rsidP="000E19B9">
            <w:pPr>
              <w:overflowPunct/>
              <w:autoSpaceDE/>
              <w:autoSpaceDN/>
              <w:adjustRightInd/>
              <w:spacing w:before="80"/>
              <w:textAlignment w:val="auto"/>
              <w:rPr>
                <w:color w:val="000000"/>
              </w:rPr>
            </w:pPr>
            <w:r w:rsidRPr="0093337E">
              <w:rPr>
                <w:color w:val="000000"/>
              </w:rPr>
              <w:t>Coefficient</w:t>
            </w:r>
          </w:p>
        </w:tc>
        <w:tc>
          <w:tcPr>
            <w:tcW w:w="0" w:type="auto"/>
            <w:tcBorders>
              <w:top w:val="single" w:sz="12" w:space="0" w:color="auto"/>
              <w:left w:val="nil"/>
              <w:bottom w:val="double" w:sz="6" w:space="0" w:color="auto"/>
              <w:right w:val="nil"/>
            </w:tcBorders>
            <w:shd w:val="clear" w:color="000000" w:fill="FFFFFF"/>
            <w:noWrap/>
            <w:vAlign w:val="bottom"/>
            <w:hideMark/>
          </w:tcPr>
          <w:p w:rsidR="0093337E" w:rsidRPr="0093337E" w:rsidRDefault="00532660" w:rsidP="000D4BF4">
            <w:pPr>
              <w:overflowPunct/>
              <w:autoSpaceDE/>
              <w:autoSpaceDN/>
              <w:adjustRightInd/>
              <w:spacing w:before="80"/>
              <w:textAlignment w:val="auto"/>
              <w:rPr>
                <w:color w:val="000000"/>
              </w:rPr>
            </w:pPr>
            <w:r>
              <w:rPr>
                <w:color w:val="000000"/>
              </w:rPr>
              <w:t>(</w:t>
            </w:r>
            <w:r w:rsidR="0093337E" w:rsidRPr="0093337E">
              <w:rPr>
                <w:color w:val="000000"/>
              </w:rPr>
              <w:t>t-stat</w:t>
            </w:r>
            <w:r>
              <w:rPr>
                <w:color w:val="000000"/>
              </w:rPr>
              <w:t>)</w:t>
            </w:r>
          </w:p>
        </w:tc>
      </w:tr>
      <w:tr w:rsidR="0093337E" w:rsidRPr="0093337E" w:rsidTr="0093337E">
        <w:trPr>
          <w:trHeight w:val="144"/>
        </w:trPr>
        <w:tc>
          <w:tcPr>
            <w:tcW w:w="3866" w:type="dxa"/>
            <w:gridSpan w:val="4"/>
            <w:tcBorders>
              <w:top w:val="nil"/>
              <w:left w:val="nil"/>
              <w:bottom w:val="nil"/>
              <w:right w:val="nil"/>
            </w:tcBorders>
            <w:shd w:val="clear" w:color="000000" w:fill="FFFFFF"/>
            <w:noWrap/>
            <w:vAlign w:val="bottom"/>
            <w:hideMark/>
          </w:tcPr>
          <w:p w:rsidR="0093337E" w:rsidRPr="0093337E" w:rsidRDefault="0093337E" w:rsidP="000E19B9">
            <w:pPr>
              <w:overflowPunct/>
              <w:autoSpaceDE/>
              <w:autoSpaceDN/>
              <w:adjustRightInd/>
              <w:spacing w:before="60" w:after="60"/>
              <w:textAlignment w:val="auto"/>
              <w:rPr>
                <w:color w:val="000000"/>
              </w:rPr>
            </w:pPr>
            <w:r w:rsidRPr="0093337E">
              <w:rPr>
                <w:color w:val="000000"/>
              </w:rPr>
              <w:t>(a) Dependent variable: Capital Gains</w:t>
            </w:r>
            <w:r w:rsidRPr="0093337E">
              <w:rPr>
                <w:color w:val="000000"/>
                <w:vertAlign w:val="subscript"/>
              </w:rPr>
              <w:t>t</w:t>
            </w:r>
          </w:p>
        </w:tc>
        <w:tc>
          <w:tcPr>
            <w:tcW w:w="0" w:type="auto"/>
            <w:tcBorders>
              <w:top w:val="nil"/>
              <w:left w:val="nil"/>
              <w:bottom w:val="nil"/>
              <w:right w:val="nil"/>
            </w:tcBorders>
            <w:shd w:val="clear" w:color="000000" w:fill="FFFFFF"/>
            <w:noWrap/>
            <w:vAlign w:val="bottom"/>
            <w:hideMark/>
          </w:tcPr>
          <w:p w:rsidR="0093337E" w:rsidRPr="0093337E" w:rsidRDefault="0093337E" w:rsidP="000E19B9">
            <w:pPr>
              <w:overflowPunct/>
              <w:autoSpaceDE/>
              <w:autoSpaceDN/>
              <w:adjustRightInd/>
              <w:spacing w:before="60" w:after="60"/>
              <w:textAlignment w:val="auto"/>
              <w:rPr>
                <w:rFonts w:ascii="Calibri" w:hAnsi="Calibri"/>
                <w:color w:val="000000"/>
                <w:sz w:val="22"/>
                <w:szCs w:val="22"/>
              </w:rPr>
            </w:pPr>
            <w:r w:rsidRPr="0093337E">
              <w:rPr>
                <w:rFonts w:ascii="Calibri" w:hAnsi="Calibri"/>
                <w:color w:val="000000"/>
                <w:sz w:val="22"/>
                <w:szCs w:val="22"/>
              </w:rPr>
              <w:t> </w:t>
            </w:r>
          </w:p>
        </w:tc>
        <w:tc>
          <w:tcPr>
            <w:tcW w:w="0" w:type="auto"/>
            <w:tcBorders>
              <w:top w:val="nil"/>
              <w:left w:val="nil"/>
              <w:bottom w:val="nil"/>
              <w:right w:val="nil"/>
            </w:tcBorders>
            <w:shd w:val="clear" w:color="000000" w:fill="FFFFFF"/>
            <w:noWrap/>
            <w:vAlign w:val="bottom"/>
            <w:hideMark/>
          </w:tcPr>
          <w:p w:rsidR="0093337E" w:rsidRPr="0093337E" w:rsidRDefault="0093337E" w:rsidP="000E19B9">
            <w:pPr>
              <w:overflowPunct/>
              <w:autoSpaceDE/>
              <w:autoSpaceDN/>
              <w:adjustRightInd/>
              <w:spacing w:before="60" w:after="60"/>
              <w:textAlignment w:val="auto"/>
              <w:rPr>
                <w:rFonts w:ascii="Calibri" w:hAnsi="Calibri"/>
                <w:color w:val="000000"/>
                <w:sz w:val="22"/>
                <w:szCs w:val="22"/>
              </w:rPr>
            </w:pPr>
            <w:r w:rsidRPr="0093337E">
              <w:rPr>
                <w:rFonts w:ascii="Calibri" w:hAnsi="Calibri"/>
                <w:color w:val="000000"/>
                <w:sz w:val="22"/>
                <w:szCs w:val="22"/>
              </w:rPr>
              <w:t> </w:t>
            </w:r>
          </w:p>
        </w:tc>
        <w:tc>
          <w:tcPr>
            <w:tcW w:w="0" w:type="auto"/>
            <w:tcBorders>
              <w:top w:val="nil"/>
              <w:left w:val="nil"/>
              <w:bottom w:val="nil"/>
              <w:right w:val="nil"/>
            </w:tcBorders>
            <w:shd w:val="clear" w:color="000000" w:fill="FFFFFF"/>
            <w:noWrap/>
            <w:vAlign w:val="bottom"/>
            <w:hideMark/>
          </w:tcPr>
          <w:p w:rsidR="0093337E" w:rsidRPr="0093337E" w:rsidRDefault="0093337E" w:rsidP="000D4BF4">
            <w:pPr>
              <w:overflowPunct/>
              <w:autoSpaceDE/>
              <w:autoSpaceDN/>
              <w:adjustRightInd/>
              <w:spacing w:before="60" w:after="60"/>
              <w:textAlignment w:val="auto"/>
              <w:rPr>
                <w:rFonts w:ascii="Calibri" w:hAnsi="Calibri"/>
                <w:color w:val="000000"/>
                <w:sz w:val="22"/>
                <w:szCs w:val="22"/>
              </w:rPr>
            </w:pPr>
            <w:r w:rsidRPr="0093337E">
              <w:rPr>
                <w:rFonts w:ascii="Calibri" w:hAnsi="Calibri"/>
                <w:color w:val="000000"/>
                <w:sz w:val="22"/>
                <w:szCs w:val="22"/>
              </w:rPr>
              <w:t> </w:t>
            </w:r>
          </w:p>
        </w:tc>
      </w:tr>
      <w:tr w:rsidR="0093337E" w:rsidRPr="0093337E" w:rsidTr="0093337E">
        <w:trPr>
          <w:trHeight w:val="144"/>
        </w:trPr>
        <w:tc>
          <w:tcPr>
            <w:tcW w:w="2106" w:type="dxa"/>
            <w:tcBorders>
              <w:top w:val="nil"/>
              <w:left w:val="nil"/>
              <w:bottom w:val="nil"/>
              <w:right w:val="nil"/>
            </w:tcBorders>
            <w:shd w:val="clear" w:color="000000" w:fill="FFFFFF"/>
            <w:noWrap/>
            <w:vAlign w:val="bottom"/>
            <w:hideMark/>
          </w:tcPr>
          <w:p w:rsidR="0093337E" w:rsidRPr="0093337E" w:rsidRDefault="0093337E" w:rsidP="0093337E">
            <w:pPr>
              <w:overflowPunct/>
              <w:autoSpaceDE/>
              <w:autoSpaceDN/>
              <w:adjustRightInd/>
              <w:ind w:firstLineChars="100" w:firstLine="200"/>
              <w:textAlignment w:val="auto"/>
              <w:rPr>
                <w:color w:val="000000"/>
              </w:rPr>
            </w:pPr>
            <w:r w:rsidRPr="0093337E">
              <w:rPr>
                <w:color w:val="000000"/>
              </w:rPr>
              <w:t>Capital Gains</w:t>
            </w:r>
            <w:r w:rsidRPr="0093337E">
              <w:rPr>
                <w:color w:val="000000"/>
                <w:vertAlign w:val="subscript"/>
              </w:rPr>
              <w:t>t-1</w:t>
            </w:r>
          </w:p>
        </w:tc>
        <w:tc>
          <w:tcPr>
            <w:tcW w:w="0" w:type="auto"/>
            <w:tcBorders>
              <w:top w:val="nil"/>
              <w:left w:val="nil"/>
              <w:bottom w:val="nil"/>
              <w:right w:val="nil"/>
            </w:tcBorders>
            <w:shd w:val="clear" w:color="000000" w:fill="FFFFFF"/>
            <w:noWrap/>
            <w:vAlign w:val="bottom"/>
            <w:hideMark/>
          </w:tcPr>
          <w:p w:rsidR="0093337E" w:rsidRPr="0093337E" w:rsidRDefault="0093337E" w:rsidP="00532660">
            <w:pPr>
              <w:overflowPunct/>
              <w:autoSpaceDE/>
              <w:autoSpaceDN/>
              <w:adjustRightInd/>
              <w:ind w:right="-74"/>
              <w:jc w:val="right"/>
              <w:textAlignment w:val="auto"/>
              <w:rPr>
                <w:color w:val="000000"/>
              </w:rPr>
            </w:pPr>
            <w:r w:rsidRPr="0093337E">
              <w:rPr>
                <w:color w:val="000000"/>
              </w:rPr>
              <w:t>0.666</w:t>
            </w:r>
          </w:p>
        </w:tc>
        <w:tc>
          <w:tcPr>
            <w:tcW w:w="0" w:type="auto"/>
            <w:tcBorders>
              <w:top w:val="nil"/>
              <w:left w:val="nil"/>
              <w:bottom w:val="nil"/>
              <w:right w:val="nil"/>
            </w:tcBorders>
            <w:shd w:val="clear" w:color="000000" w:fill="FFFFFF"/>
            <w:noWrap/>
            <w:vAlign w:val="bottom"/>
            <w:hideMark/>
          </w:tcPr>
          <w:p w:rsidR="0093337E" w:rsidRPr="0093337E" w:rsidRDefault="0093337E" w:rsidP="00532660">
            <w:pPr>
              <w:overflowPunct/>
              <w:autoSpaceDE/>
              <w:autoSpaceDN/>
              <w:adjustRightInd/>
              <w:ind w:left="-52"/>
              <w:textAlignment w:val="auto"/>
              <w:rPr>
                <w:color w:val="000000"/>
              </w:rPr>
            </w:pPr>
            <w:r w:rsidRPr="0093337E">
              <w:rPr>
                <w:color w:val="000000"/>
                <w:vertAlign w:val="superscript"/>
              </w:rPr>
              <w:t>***</w:t>
            </w:r>
          </w:p>
        </w:tc>
        <w:tc>
          <w:tcPr>
            <w:tcW w:w="0" w:type="auto"/>
            <w:tcBorders>
              <w:top w:val="nil"/>
              <w:left w:val="nil"/>
              <w:bottom w:val="nil"/>
              <w:right w:val="nil"/>
            </w:tcBorders>
            <w:shd w:val="clear" w:color="000000" w:fill="FFFFFF"/>
            <w:noWrap/>
            <w:vAlign w:val="bottom"/>
            <w:hideMark/>
          </w:tcPr>
          <w:p w:rsidR="0093337E" w:rsidRPr="0093337E" w:rsidRDefault="00532660" w:rsidP="000D4BF4">
            <w:pPr>
              <w:overflowPunct/>
              <w:autoSpaceDE/>
              <w:autoSpaceDN/>
              <w:adjustRightInd/>
              <w:textAlignment w:val="auto"/>
              <w:rPr>
                <w:color w:val="000000"/>
              </w:rPr>
            </w:pPr>
            <w:r>
              <w:rPr>
                <w:color w:val="000000"/>
              </w:rPr>
              <w:t>(</w:t>
            </w:r>
            <w:r w:rsidR="0093337E" w:rsidRPr="0093337E">
              <w:rPr>
                <w:color w:val="000000"/>
              </w:rPr>
              <w:t>10.0</w:t>
            </w:r>
            <w:r>
              <w:rPr>
                <w:color w:val="000000"/>
              </w:rPr>
              <w:t>)</w:t>
            </w:r>
          </w:p>
        </w:tc>
        <w:tc>
          <w:tcPr>
            <w:tcW w:w="0" w:type="auto"/>
            <w:tcBorders>
              <w:top w:val="nil"/>
              <w:left w:val="nil"/>
              <w:bottom w:val="nil"/>
              <w:right w:val="nil"/>
            </w:tcBorders>
            <w:shd w:val="clear" w:color="000000" w:fill="FFFFFF"/>
            <w:noWrap/>
            <w:vAlign w:val="bottom"/>
            <w:hideMark/>
          </w:tcPr>
          <w:p w:rsidR="0093337E" w:rsidRPr="0093337E" w:rsidRDefault="0093337E" w:rsidP="00532660">
            <w:pPr>
              <w:overflowPunct/>
              <w:autoSpaceDE/>
              <w:autoSpaceDN/>
              <w:adjustRightInd/>
              <w:ind w:right="-60"/>
              <w:jc w:val="right"/>
              <w:textAlignment w:val="auto"/>
              <w:rPr>
                <w:color w:val="000000"/>
              </w:rPr>
            </w:pPr>
            <w:r w:rsidRPr="0093337E">
              <w:rPr>
                <w:color w:val="000000"/>
              </w:rPr>
              <w:t>0.666</w:t>
            </w:r>
          </w:p>
        </w:tc>
        <w:tc>
          <w:tcPr>
            <w:tcW w:w="0" w:type="auto"/>
            <w:tcBorders>
              <w:top w:val="nil"/>
              <w:left w:val="nil"/>
              <w:bottom w:val="nil"/>
              <w:right w:val="nil"/>
            </w:tcBorders>
            <w:shd w:val="clear" w:color="000000" w:fill="FFFFFF"/>
            <w:noWrap/>
            <w:vAlign w:val="bottom"/>
            <w:hideMark/>
          </w:tcPr>
          <w:p w:rsidR="0093337E" w:rsidRPr="0093337E" w:rsidRDefault="0093337E" w:rsidP="00532660">
            <w:pPr>
              <w:overflowPunct/>
              <w:autoSpaceDE/>
              <w:autoSpaceDN/>
              <w:adjustRightInd/>
              <w:ind w:left="-118"/>
              <w:textAlignment w:val="auto"/>
              <w:rPr>
                <w:color w:val="000000"/>
              </w:rPr>
            </w:pPr>
            <w:r w:rsidRPr="0093337E">
              <w:rPr>
                <w:color w:val="000000"/>
                <w:vertAlign w:val="superscript"/>
              </w:rPr>
              <w:t>***</w:t>
            </w:r>
          </w:p>
        </w:tc>
        <w:tc>
          <w:tcPr>
            <w:tcW w:w="0" w:type="auto"/>
            <w:tcBorders>
              <w:top w:val="nil"/>
              <w:left w:val="nil"/>
              <w:bottom w:val="nil"/>
              <w:right w:val="nil"/>
            </w:tcBorders>
            <w:shd w:val="clear" w:color="000000" w:fill="FFFFFF"/>
            <w:noWrap/>
            <w:vAlign w:val="bottom"/>
            <w:hideMark/>
          </w:tcPr>
          <w:p w:rsidR="0093337E" w:rsidRPr="0093337E" w:rsidRDefault="00532660" w:rsidP="000D4BF4">
            <w:pPr>
              <w:overflowPunct/>
              <w:autoSpaceDE/>
              <w:autoSpaceDN/>
              <w:adjustRightInd/>
              <w:textAlignment w:val="auto"/>
              <w:rPr>
                <w:color w:val="000000"/>
              </w:rPr>
            </w:pPr>
            <w:r>
              <w:rPr>
                <w:color w:val="000000"/>
              </w:rPr>
              <w:t>(</w:t>
            </w:r>
            <w:r w:rsidR="0093337E" w:rsidRPr="0093337E">
              <w:rPr>
                <w:color w:val="000000"/>
              </w:rPr>
              <w:t>10.0</w:t>
            </w:r>
            <w:r>
              <w:rPr>
                <w:color w:val="000000"/>
              </w:rPr>
              <w:t>)</w:t>
            </w:r>
          </w:p>
        </w:tc>
      </w:tr>
      <w:tr w:rsidR="0093337E" w:rsidRPr="0093337E" w:rsidTr="0093337E">
        <w:trPr>
          <w:trHeight w:val="144"/>
        </w:trPr>
        <w:tc>
          <w:tcPr>
            <w:tcW w:w="2106" w:type="dxa"/>
            <w:tcBorders>
              <w:top w:val="nil"/>
              <w:left w:val="nil"/>
              <w:bottom w:val="nil"/>
              <w:right w:val="nil"/>
            </w:tcBorders>
            <w:shd w:val="clear" w:color="000000" w:fill="FFFFFF"/>
            <w:noWrap/>
            <w:vAlign w:val="bottom"/>
            <w:hideMark/>
          </w:tcPr>
          <w:p w:rsidR="0093337E" w:rsidRPr="0093337E" w:rsidRDefault="0093337E" w:rsidP="0093337E">
            <w:pPr>
              <w:overflowPunct/>
              <w:autoSpaceDE/>
              <w:autoSpaceDN/>
              <w:adjustRightInd/>
              <w:ind w:firstLineChars="100" w:firstLine="200"/>
              <w:textAlignment w:val="auto"/>
              <w:rPr>
                <w:color w:val="000000"/>
              </w:rPr>
            </w:pPr>
            <w:r w:rsidRPr="0093337E">
              <w:rPr>
                <w:color w:val="000000"/>
              </w:rPr>
              <w:t>Income Returns</w:t>
            </w:r>
            <w:r w:rsidRPr="0093337E">
              <w:rPr>
                <w:color w:val="000000"/>
                <w:vertAlign w:val="subscript"/>
              </w:rPr>
              <w:t>t-1</w:t>
            </w:r>
          </w:p>
        </w:tc>
        <w:tc>
          <w:tcPr>
            <w:tcW w:w="0" w:type="auto"/>
            <w:tcBorders>
              <w:top w:val="nil"/>
              <w:left w:val="nil"/>
              <w:bottom w:val="nil"/>
              <w:right w:val="nil"/>
            </w:tcBorders>
            <w:shd w:val="clear" w:color="000000" w:fill="FFFFFF"/>
            <w:noWrap/>
            <w:vAlign w:val="bottom"/>
            <w:hideMark/>
          </w:tcPr>
          <w:p w:rsidR="0093337E" w:rsidRPr="0093337E" w:rsidRDefault="0093337E" w:rsidP="00532660">
            <w:pPr>
              <w:overflowPunct/>
              <w:autoSpaceDE/>
              <w:autoSpaceDN/>
              <w:adjustRightInd/>
              <w:ind w:right="-74"/>
              <w:jc w:val="right"/>
              <w:textAlignment w:val="auto"/>
              <w:rPr>
                <w:color w:val="000000"/>
              </w:rPr>
            </w:pPr>
            <w:r w:rsidRPr="0093337E">
              <w:rPr>
                <w:color w:val="000000"/>
              </w:rPr>
              <w:t>0.020</w:t>
            </w:r>
          </w:p>
        </w:tc>
        <w:tc>
          <w:tcPr>
            <w:tcW w:w="0" w:type="auto"/>
            <w:tcBorders>
              <w:top w:val="nil"/>
              <w:left w:val="nil"/>
              <w:bottom w:val="nil"/>
              <w:right w:val="nil"/>
            </w:tcBorders>
            <w:shd w:val="clear" w:color="000000" w:fill="FFFFFF"/>
            <w:noWrap/>
            <w:vAlign w:val="bottom"/>
            <w:hideMark/>
          </w:tcPr>
          <w:p w:rsidR="0093337E" w:rsidRPr="0093337E" w:rsidRDefault="0093337E" w:rsidP="00532660">
            <w:pPr>
              <w:overflowPunct/>
              <w:autoSpaceDE/>
              <w:autoSpaceDN/>
              <w:adjustRightInd/>
              <w:ind w:left="-52"/>
              <w:textAlignment w:val="auto"/>
              <w:rPr>
                <w:color w:val="000000"/>
              </w:rPr>
            </w:pPr>
            <w:r w:rsidRPr="0093337E">
              <w:rPr>
                <w:color w:val="000000"/>
              </w:rPr>
              <w:t> </w:t>
            </w:r>
          </w:p>
        </w:tc>
        <w:tc>
          <w:tcPr>
            <w:tcW w:w="0" w:type="auto"/>
            <w:tcBorders>
              <w:top w:val="nil"/>
              <w:left w:val="nil"/>
              <w:bottom w:val="nil"/>
              <w:right w:val="nil"/>
            </w:tcBorders>
            <w:shd w:val="clear" w:color="000000" w:fill="FFFFFF"/>
            <w:noWrap/>
            <w:vAlign w:val="bottom"/>
            <w:hideMark/>
          </w:tcPr>
          <w:p w:rsidR="0093337E" w:rsidRPr="0093337E" w:rsidRDefault="00532660" w:rsidP="000D4BF4">
            <w:pPr>
              <w:overflowPunct/>
              <w:autoSpaceDE/>
              <w:autoSpaceDN/>
              <w:adjustRightInd/>
              <w:textAlignment w:val="auto"/>
              <w:rPr>
                <w:color w:val="000000"/>
              </w:rPr>
            </w:pPr>
            <w:r>
              <w:rPr>
                <w:color w:val="000000"/>
              </w:rPr>
              <w:t>(</w:t>
            </w:r>
            <w:r w:rsidR="0093337E" w:rsidRPr="0093337E">
              <w:rPr>
                <w:color w:val="000000"/>
              </w:rPr>
              <w:t>0.3</w:t>
            </w:r>
            <w:r>
              <w:rPr>
                <w:color w:val="000000"/>
              </w:rPr>
              <w:t>)</w:t>
            </w:r>
          </w:p>
        </w:tc>
        <w:tc>
          <w:tcPr>
            <w:tcW w:w="0" w:type="auto"/>
            <w:tcBorders>
              <w:top w:val="nil"/>
              <w:left w:val="nil"/>
              <w:bottom w:val="nil"/>
              <w:right w:val="nil"/>
            </w:tcBorders>
            <w:shd w:val="clear" w:color="000000" w:fill="FFFFFF"/>
            <w:noWrap/>
            <w:vAlign w:val="bottom"/>
            <w:hideMark/>
          </w:tcPr>
          <w:p w:rsidR="0093337E" w:rsidRPr="0093337E" w:rsidRDefault="0093337E" w:rsidP="00532660">
            <w:pPr>
              <w:overflowPunct/>
              <w:autoSpaceDE/>
              <w:autoSpaceDN/>
              <w:adjustRightInd/>
              <w:ind w:right="-60"/>
              <w:jc w:val="right"/>
              <w:textAlignment w:val="auto"/>
              <w:rPr>
                <w:color w:val="000000"/>
              </w:rPr>
            </w:pPr>
            <w:r w:rsidRPr="0093337E">
              <w:rPr>
                <w:color w:val="000000"/>
              </w:rPr>
              <w:t>0.020</w:t>
            </w:r>
          </w:p>
        </w:tc>
        <w:tc>
          <w:tcPr>
            <w:tcW w:w="0" w:type="auto"/>
            <w:tcBorders>
              <w:top w:val="nil"/>
              <w:left w:val="nil"/>
              <w:bottom w:val="nil"/>
              <w:right w:val="nil"/>
            </w:tcBorders>
            <w:shd w:val="clear" w:color="000000" w:fill="FFFFFF"/>
            <w:noWrap/>
            <w:vAlign w:val="bottom"/>
            <w:hideMark/>
          </w:tcPr>
          <w:p w:rsidR="0093337E" w:rsidRPr="0093337E" w:rsidRDefault="0093337E" w:rsidP="00532660">
            <w:pPr>
              <w:overflowPunct/>
              <w:autoSpaceDE/>
              <w:autoSpaceDN/>
              <w:adjustRightInd/>
              <w:ind w:left="-118"/>
              <w:textAlignment w:val="auto"/>
              <w:rPr>
                <w:color w:val="000000"/>
              </w:rPr>
            </w:pPr>
            <w:r w:rsidRPr="0093337E">
              <w:rPr>
                <w:color w:val="000000"/>
              </w:rPr>
              <w:t> </w:t>
            </w:r>
          </w:p>
        </w:tc>
        <w:tc>
          <w:tcPr>
            <w:tcW w:w="0" w:type="auto"/>
            <w:tcBorders>
              <w:top w:val="nil"/>
              <w:left w:val="nil"/>
              <w:bottom w:val="nil"/>
              <w:right w:val="nil"/>
            </w:tcBorders>
            <w:shd w:val="clear" w:color="000000" w:fill="FFFFFF"/>
            <w:noWrap/>
            <w:vAlign w:val="bottom"/>
            <w:hideMark/>
          </w:tcPr>
          <w:p w:rsidR="0093337E" w:rsidRPr="0093337E" w:rsidRDefault="00532660" w:rsidP="000D4BF4">
            <w:pPr>
              <w:overflowPunct/>
              <w:autoSpaceDE/>
              <w:autoSpaceDN/>
              <w:adjustRightInd/>
              <w:textAlignment w:val="auto"/>
              <w:rPr>
                <w:color w:val="000000"/>
              </w:rPr>
            </w:pPr>
            <w:r>
              <w:rPr>
                <w:color w:val="000000"/>
              </w:rPr>
              <w:t>(</w:t>
            </w:r>
            <w:r w:rsidR="0093337E" w:rsidRPr="0093337E">
              <w:rPr>
                <w:color w:val="000000"/>
              </w:rPr>
              <w:t>0.3</w:t>
            </w:r>
            <w:r>
              <w:rPr>
                <w:color w:val="000000"/>
              </w:rPr>
              <w:t>)</w:t>
            </w:r>
          </w:p>
        </w:tc>
      </w:tr>
      <w:tr w:rsidR="0093337E" w:rsidRPr="0093337E" w:rsidTr="0093337E">
        <w:trPr>
          <w:trHeight w:val="144"/>
        </w:trPr>
        <w:tc>
          <w:tcPr>
            <w:tcW w:w="2106" w:type="dxa"/>
            <w:tcBorders>
              <w:top w:val="nil"/>
              <w:left w:val="nil"/>
              <w:bottom w:val="nil"/>
              <w:right w:val="nil"/>
            </w:tcBorders>
            <w:shd w:val="clear" w:color="000000" w:fill="FFFFFF"/>
            <w:noWrap/>
            <w:vAlign w:val="bottom"/>
            <w:hideMark/>
          </w:tcPr>
          <w:p w:rsidR="0093337E" w:rsidRPr="0093337E" w:rsidRDefault="0093337E" w:rsidP="000E19B9">
            <w:pPr>
              <w:overflowPunct/>
              <w:autoSpaceDE/>
              <w:autoSpaceDN/>
              <w:adjustRightInd/>
              <w:ind w:firstLineChars="100" w:firstLine="200"/>
              <w:textAlignment w:val="auto"/>
              <w:rPr>
                <w:color w:val="000000"/>
              </w:rPr>
            </w:pPr>
            <w:r w:rsidRPr="0093337E">
              <w:rPr>
                <w:color w:val="000000"/>
              </w:rPr>
              <w:t>CRE Tightening</w:t>
            </w:r>
            <w:r w:rsidRPr="0093337E">
              <w:rPr>
                <w:color w:val="000000"/>
                <w:vertAlign w:val="subscript"/>
              </w:rPr>
              <w:t>t-1</w:t>
            </w:r>
          </w:p>
        </w:tc>
        <w:tc>
          <w:tcPr>
            <w:tcW w:w="0" w:type="auto"/>
            <w:tcBorders>
              <w:top w:val="nil"/>
              <w:left w:val="nil"/>
              <w:bottom w:val="nil"/>
              <w:right w:val="nil"/>
            </w:tcBorders>
            <w:shd w:val="clear" w:color="000000" w:fill="FFFFFF"/>
            <w:noWrap/>
            <w:vAlign w:val="bottom"/>
            <w:hideMark/>
          </w:tcPr>
          <w:p w:rsidR="0093337E" w:rsidRPr="0093337E" w:rsidRDefault="0093337E" w:rsidP="00532660">
            <w:pPr>
              <w:overflowPunct/>
              <w:autoSpaceDE/>
              <w:autoSpaceDN/>
              <w:adjustRightInd/>
              <w:ind w:right="-74"/>
              <w:jc w:val="right"/>
              <w:textAlignment w:val="auto"/>
              <w:rPr>
                <w:color w:val="000000"/>
              </w:rPr>
            </w:pPr>
            <w:r w:rsidRPr="0093337E">
              <w:rPr>
                <w:color w:val="000000"/>
              </w:rPr>
              <w:t>-0.269</w:t>
            </w:r>
          </w:p>
        </w:tc>
        <w:tc>
          <w:tcPr>
            <w:tcW w:w="0" w:type="auto"/>
            <w:tcBorders>
              <w:top w:val="nil"/>
              <w:left w:val="nil"/>
              <w:bottom w:val="nil"/>
              <w:right w:val="nil"/>
            </w:tcBorders>
            <w:shd w:val="clear" w:color="000000" w:fill="FFFFFF"/>
            <w:noWrap/>
            <w:vAlign w:val="bottom"/>
            <w:hideMark/>
          </w:tcPr>
          <w:p w:rsidR="0093337E" w:rsidRPr="0093337E" w:rsidRDefault="0093337E" w:rsidP="00532660">
            <w:pPr>
              <w:overflowPunct/>
              <w:autoSpaceDE/>
              <w:autoSpaceDN/>
              <w:adjustRightInd/>
              <w:ind w:left="-52"/>
              <w:textAlignment w:val="auto"/>
              <w:rPr>
                <w:color w:val="000000"/>
              </w:rPr>
            </w:pPr>
            <w:r w:rsidRPr="0093337E">
              <w:rPr>
                <w:color w:val="000000"/>
                <w:vertAlign w:val="superscript"/>
              </w:rPr>
              <w:t>***</w:t>
            </w:r>
          </w:p>
        </w:tc>
        <w:tc>
          <w:tcPr>
            <w:tcW w:w="0" w:type="auto"/>
            <w:tcBorders>
              <w:top w:val="nil"/>
              <w:left w:val="nil"/>
              <w:bottom w:val="nil"/>
              <w:right w:val="nil"/>
            </w:tcBorders>
            <w:shd w:val="clear" w:color="000000" w:fill="FFFFFF"/>
            <w:noWrap/>
            <w:vAlign w:val="bottom"/>
            <w:hideMark/>
          </w:tcPr>
          <w:p w:rsidR="0093337E" w:rsidRPr="0093337E" w:rsidRDefault="00532660" w:rsidP="000D4BF4">
            <w:pPr>
              <w:overflowPunct/>
              <w:autoSpaceDE/>
              <w:autoSpaceDN/>
              <w:adjustRightInd/>
              <w:textAlignment w:val="auto"/>
              <w:rPr>
                <w:color w:val="000000"/>
              </w:rPr>
            </w:pPr>
            <w:r>
              <w:rPr>
                <w:color w:val="000000"/>
              </w:rPr>
              <w:t>(</w:t>
            </w:r>
            <w:r w:rsidR="0093337E" w:rsidRPr="0093337E">
              <w:rPr>
                <w:color w:val="000000"/>
              </w:rPr>
              <w:t>-3.9</w:t>
            </w:r>
            <w:r>
              <w:rPr>
                <w:color w:val="000000"/>
              </w:rPr>
              <w:t>)</w:t>
            </w:r>
          </w:p>
        </w:tc>
        <w:tc>
          <w:tcPr>
            <w:tcW w:w="0" w:type="auto"/>
            <w:tcBorders>
              <w:top w:val="nil"/>
              <w:left w:val="nil"/>
              <w:bottom w:val="nil"/>
              <w:right w:val="nil"/>
            </w:tcBorders>
            <w:shd w:val="clear" w:color="000000" w:fill="FFFFFF"/>
            <w:noWrap/>
            <w:vAlign w:val="bottom"/>
            <w:hideMark/>
          </w:tcPr>
          <w:p w:rsidR="0093337E" w:rsidRPr="0093337E" w:rsidRDefault="0093337E" w:rsidP="00532660">
            <w:pPr>
              <w:overflowPunct/>
              <w:autoSpaceDE/>
              <w:autoSpaceDN/>
              <w:adjustRightInd/>
              <w:ind w:right="-60"/>
              <w:jc w:val="right"/>
              <w:textAlignment w:val="auto"/>
              <w:rPr>
                <w:color w:val="000000"/>
              </w:rPr>
            </w:pPr>
            <w:r w:rsidRPr="0093337E">
              <w:rPr>
                <w:color w:val="000000"/>
              </w:rPr>
              <w:t>-0.269</w:t>
            </w:r>
          </w:p>
        </w:tc>
        <w:tc>
          <w:tcPr>
            <w:tcW w:w="0" w:type="auto"/>
            <w:tcBorders>
              <w:top w:val="nil"/>
              <w:left w:val="nil"/>
              <w:bottom w:val="nil"/>
              <w:right w:val="nil"/>
            </w:tcBorders>
            <w:shd w:val="clear" w:color="000000" w:fill="FFFFFF"/>
            <w:noWrap/>
            <w:vAlign w:val="bottom"/>
            <w:hideMark/>
          </w:tcPr>
          <w:p w:rsidR="0093337E" w:rsidRPr="0093337E" w:rsidRDefault="0093337E" w:rsidP="00532660">
            <w:pPr>
              <w:overflowPunct/>
              <w:autoSpaceDE/>
              <w:autoSpaceDN/>
              <w:adjustRightInd/>
              <w:ind w:left="-118"/>
              <w:textAlignment w:val="auto"/>
              <w:rPr>
                <w:color w:val="000000"/>
              </w:rPr>
            </w:pPr>
            <w:r w:rsidRPr="0093337E">
              <w:rPr>
                <w:color w:val="000000"/>
                <w:vertAlign w:val="superscript"/>
              </w:rPr>
              <w:t>***</w:t>
            </w:r>
          </w:p>
        </w:tc>
        <w:tc>
          <w:tcPr>
            <w:tcW w:w="0" w:type="auto"/>
            <w:tcBorders>
              <w:top w:val="nil"/>
              <w:left w:val="nil"/>
              <w:bottom w:val="nil"/>
              <w:right w:val="nil"/>
            </w:tcBorders>
            <w:shd w:val="clear" w:color="000000" w:fill="FFFFFF"/>
            <w:noWrap/>
            <w:vAlign w:val="bottom"/>
            <w:hideMark/>
          </w:tcPr>
          <w:p w:rsidR="0093337E" w:rsidRPr="0093337E" w:rsidRDefault="00532660" w:rsidP="000D4BF4">
            <w:pPr>
              <w:overflowPunct/>
              <w:autoSpaceDE/>
              <w:autoSpaceDN/>
              <w:adjustRightInd/>
              <w:textAlignment w:val="auto"/>
              <w:rPr>
                <w:color w:val="000000"/>
              </w:rPr>
            </w:pPr>
            <w:r>
              <w:rPr>
                <w:color w:val="000000"/>
              </w:rPr>
              <w:t>(</w:t>
            </w:r>
            <w:r w:rsidR="0093337E" w:rsidRPr="0093337E">
              <w:rPr>
                <w:color w:val="000000"/>
              </w:rPr>
              <w:t>-3.9</w:t>
            </w:r>
            <w:r>
              <w:rPr>
                <w:color w:val="000000"/>
              </w:rPr>
              <w:t>)</w:t>
            </w:r>
          </w:p>
        </w:tc>
      </w:tr>
      <w:tr w:rsidR="0093337E" w:rsidRPr="0093337E" w:rsidTr="0093337E">
        <w:trPr>
          <w:trHeight w:val="144"/>
        </w:trPr>
        <w:tc>
          <w:tcPr>
            <w:tcW w:w="3866" w:type="dxa"/>
            <w:gridSpan w:val="4"/>
            <w:tcBorders>
              <w:top w:val="nil"/>
              <w:left w:val="nil"/>
              <w:bottom w:val="nil"/>
              <w:right w:val="nil"/>
            </w:tcBorders>
            <w:shd w:val="clear" w:color="000000" w:fill="FFFFFF"/>
            <w:noWrap/>
            <w:vAlign w:val="bottom"/>
            <w:hideMark/>
          </w:tcPr>
          <w:p w:rsidR="0093337E" w:rsidRPr="0093337E" w:rsidRDefault="0093337E" w:rsidP="000E19B9">
            <w:pPr>
              <w:overflowPunct/>
              <w:autoSpaceDE/>
              <w:autoSpaceDN/>
              <w:adjustRightInd/>
              <w:spacing w:before="60" w:after="60"/>
              <w:textAlignment w:val="auto"/>
              <w:rPr>
                <w:color w:val="000000"/>
              </w:rPr>
            </w:pPr>
            <w:r w:rsidRPr="0093337E">
              <w:rPr>
                <w:color w:val="000000"/>
              </w:rPr>
              <w:t>(b) Dependent variable: ΔCapital Gains</w:t>
            </w:r>
            <w:r w:rsidRPr="0093337E">
              <w:rPr>
                <w:color w:val="000000"/>
                <w:vertAlign w:val="subscript"/>
              </w:rPr>
              <w:t>t</w:t>
            </w:r>
          </w:p>
        </w:tc>
        <w:tc>
          <w:tcPr>
            <w:tcW w:w="0" w:type="auto"/>
            <w:tcBorders>
              <w:top w:val="nil"/>
              <w:left w:val="nil"/>
              <w:bottom w:val="nil"/>
              <w:right w:val="nil"/>
            </w:tcBorders>
            <w:shd w:val="clear" w:color="000000" w:fill="FFFFFF"/>
            <w:noWrap/>
            <w:vAlign w:val="bottom"/>
            <w:hideMark/>
          </w:tcPr>
          <w:p w:rsidR="0093337E" w:rsidRPr="0093337E" w:rsidRDefault="0093337E" w:rsidP="00532660">
            <w:pPr>
              <w:overflowPunct/>
              <w:autoSpaceDE/>
              <w:autoSpaceDN/>
              <w:adjustRightInd/>
              <w:spacing w:before="60" w:after="60"/>
              <w:ind w:right="-60"/>
              <w:textAlignment w:val="auto"/>
              <w:rPr>
                <w:rFonts w:ascii="Calibri" w:hAnsi="Calibri"/>
                <w:color w:val="000000"/>
                <w:sz w:val="22"/>
                <w:szCs w:val="22"/>
              </w:rPr>
            </w:pPr>
            <w:r w:rsidRPr="0093337E">
              <w:rPr>
                <w:rFonts w:ascii="Calibri" w:hAnsi="Calibri"/>
                <w:color w:val="000000"/>
                <w:sz w:val="22"/>
                <w:szCs w:val="22"/>
              </w:rPr>
              <w:t> </w:t>
            </w:r>
          </w:p>
        </w:tc>
        <w:tc>
          <w:tcPr>
            <w:tcW w:w="0" w:type="auto"/>
            <w:tcBorders>
              <w:top w:val="nil"/>
              <w:left w:val="nil"/>
              <w:bottom w:val="nil"/>
              <w:right w:val="nil"/>
            </w:tcBorders>
            <w:shd w:val="clear" w:color="000000" w:fill="FFFFFF"/>
            <w:noWrap/>
            <w:vAlign w:val="bottom"/>
            <w:hideMark/>
          </w:tcPr>
          <w:p w:rsidR="0093337E" w:rsidRPr="0093337E" w:rsidRDefault="0093337E" w:rsidP="00532660">
            <w:pPr>
              <w:overflowPunct/>
              <w:autoSpaceDE/>
              <w:autoSpaceDN/>
              <w:adjustRightInd/>
              <w:spacing w:before="60" w:after="60"/>
              <w:ind w:left="-118"/>
              <w:textAlignment w:val="auto"/>
              <w:rPr>
                <w:rFonts w:ascii="Calibri" w:hAnsi="Calibri"/>
                <w:color w:val="000000"/>
                <w:sz w:val="22"/>
                <w:szCs w:val="22"/>
              </w:rPr>
            </w:pPr>
            <w:r w:rsidRPr="0093337E">
              <w:rPr>
                <w:rFonts w:ascii="Calibri" w:hAnsi="Calibri"/>
                <w:color w:val="000000"/>
                <w:sz w:val="22"/>
                <w:szCs w:val="22"/>
              </w:rPr>
              <w:t> </w:t>
            </w:r>
          </w:p>
        </w:tc>
        <w:tc>
          <w:tcPr>
            <w:tcW w:w="0" w:type="auto"/>
            <w:tcBorders>
              <w:top w:val="nil"/>
              <w:left w:val="nil"/>
              <w:bottom w:val="nil"/>
              <w:right w:val="nil"/>
            </w:tcBorders>
            <w:shd w:val="clear" w:color="000000" w:fill="FFFFFF"/>
            <w:noWrap/>
            <w:vAlign w:val="bottom"/>
            <w:hideMark/>
          </w:tcPr>
          <w:p w:rsidR="0093337E" w:rsidRPr="0093337E" w:rsidRDefault="0093337E" w:rsidP="000D4BF4">
            <w:pPr>
              <w:overflowPunct/>
              <w:autoSpaceDE/>
              <w:autoSpaceDN/>
              <w:adjustRightInd/>
              <w:spacing w:before="60" w:after="60"/>
              <w:textAlignment w:val="auto"/>
              <w:rPr>
                <w:rFonts w:ascii="Calibri" w:hAnsi="Calibri"/>
                <w:color w:val="000000"/>
                <w:sz w:val="22"/>
                <w:szCs w:val="22"/>
              </w:rPr>
            </w:pPr>
            <w:r w:rsidRPr="0093337E">
              <w:rPr>
                <w:rFonts w:ascii="Calibri" w:hAnsi="Calibri"/>
                <w:color w:val="000000"/>
                <w:sz w:val="22"/>
                <w:szCs w:val="22"/>
              </w:rPr>
              <w:t> </w:t>
            </w:r>
          </w:p>
        </w:tc>
      </w:tr>
      <w:tr w:rsidR="0093337E" w:rsidRPr="0093337E" w:rsidTr="0093337E">
        <w:trPr>
          <w:trHeight w:val="144"/>
        </w:trPr>
        <w:tc>
          <w:tcPr>
            <w:tcW w:w="2106" w:type="dxa"/>
            <w:tcBorders>
              <w:top w:val="nil"/>
              <w:left w:val="nil"/>
              <w:bottom w:val="nil"/>
              <w:right w:val="nil"/>
            </w:tcBorders>
            <w:shd w:val="clear" w:color="000000" w:fill="FFFFFF"/>
            <w:noWrap/>
            <w:vAlign w:val="bottom"/>
            <w:hideMark/>
          </w:tcPr>
          <w:p w:rsidR="0093337E" w:rsidRPr="0093337E" w:rsidRDefault="0093337E" w:rsidP="0093337E">
            <w:pPr>
              <w:overflowPunct/>
              <w:autoSpaceDE/>
              <w:autoSpaceDN/>
              <w:adjustRightInd/>
              <w:ind w:firstLineChars="100" w:firstLine="200"/>
              <w:textAlignment w:val="auto"/>
              <w:rPr>
                <w:color w:val="000000"/>
              </w:rPr>
            </w:pPr>
            <w:r w:rsidRPr="0093337E">
              <w:rPr>
                <w:color w:val="000000"/>
              </w:rPr>
              <w:t>ΔCapital Gains</w:t>
            </w:r>
            <w:r w:rsidRPr="0093337E">
              <w:rPr>
                <w:color w:val="000000"/>
                <w:vertAlign w:val="subscript"/>
              </w:rPr>
              <w:t>t-1</w:t>
            </w:r>
          </w:p>
        </w:tc>
        <w:tc>
          <w:tcPr>
            <w:tcW w:w="0" w:type="auto"/>
            <w:tcBorders>
              <w:top w:val="nil"/>
              <w:left w:val="nil"/>
              <w:bottom w:val="nil"/>
              <w:right w:val="nil"/>
            </w:tcBorders>
            <w:shd w:val="clear" w:color="000000" w:fill="FFFFFF"/>
            <w:noWrap/>
            <w:vAlign w:val="bottom"/>
            <w:hideMark/>
          </w:tcPr>
          <w:p w:rsidR="0093337E" w:rsidRPr="0093337E" w:rsidRDefault="0093337E" w:rsidP="00532660">
            <w:pPr>
              <w:overflowPunct/>
              <w:autoSpaceDE/>
              <w:autoSpaceDN/>
              <w:adjustRightInd/>
              <w:ind w:right="-74"/>
              <w:jc w:val="right"/>
              <w:textAlignment w:val="auto"/>
              <w:rPr>
                <w:color w:val="000000"/>
              </w:rPr>
            </w:pPr>
            <w:r w:rsidRPr="0093337E">
              <w:rPr>
                <w:color w:val="000000"/>
              </w:rPr>
              <w:t>0.296</w:t>
            </w:r>
          </w:p>
        </w:tc>
        <w:tc>
          <w:tcPr>
            <w:tcW w:w="0" w:type="auto"/>
            <w:tcBorders>
              <w:top w:val="nil"/>
              <w:left w:val="nil"/>
              <w:bottom w:val="nil"/>
              <w:right w:val="nil"/>
            </w:tcBorders>
            <w:shd w:val="clear" w:color="000000" w:fill="FFFFFF"/>
            <w:noWrap/>
            <w:vAlign w:val="bottom"/>
            <w:hideMark/>
          </w:tcPr>
          <w:p w:rsidR="0093337E" w:rsidRPr="0093337E" w:rsidRDefault="0093337E" w:rsidP="00532660">
            <w:pPr>
              <w:overflowPunct/>
              <w:autoSpaceDE/>
              <w:autoSpaceDN/>
              <w:adjustRightInd/>
              <w:ind w:left="-45"/>
              <w:textAlignment w:val="auto"/>
              <w:rPr>
                <w:color w:val="000000"/>
              </w:rPr>
            </w:pPr>
            <w:r w:rsidRPr="0093337E">
              <w:rPr>
                <w:color w:val="000000"/>
              </w:rPr>
              <w:t> </w:t>
            </w:r>
          </w:p>
        </w:tc>
        <w:tc>
          <w:tcPr>
            <w:tcW w:w="0" w:type="auto"/>
            <w:tcBorders>
              <w:top w:val="nil"/>
              <w:left w:val="nil"/>
              <w:bottom w:val="nil"/>
              <w:right w:val="nil"/>
            </w:tcBorders>
            <w:shd w:val="clear" w:color="000000" w:fill="FFFFFF"/>
            <w:noWrap/>
            <w:vAlign w:val="bottom"/>
            <w:hideMark/>
          </w:tcPr>
          <w:p w:rsidR="0093337E" w:rsidRPr="0093337E" w:rsidRDefault="00532660" w:rsidP="000D4BF4">
            <w:pPr>
              <w:overflowPunct/>
              <w:autoSpaceDE/>
              <w:autoSpaceDN/>
              <w:adjustRightInd/>
              <w:textAlignment w:val="auto"/>
              <w:rPr>
                <w:color w:val="000000"/>
              </w:rPr>
            </w:pPr>
            <w:r>
              <w:rPr>
                <w:color w:val="000000"/>
              </w:rPr>
              <w:t>(</w:t>
            </w:r>
            <w:r w:rsidR="0093337E" w:rsidRPr="0093337E">
              <w:rPr>
                <w:color w:val="000000"/>
              </w:rPr>
              <w:t>1.5</w:t>
            </w:r>
            <w:r>
              <w:rPr>
                <w:color w:val="000000"/>
              </w:rPr>
              <w:t>)</w:t>
            </w:r>
          </w:p>
        </w:tc>
        <w:tc>
          <w:tcPr>
            <w:tcW w:w="0" w:type="auto"/>
            <w:tcBorders>
              <w:top w:val="nil"/>
              <w:left w:val="nil"/>
              <w:bottom w:val="nil"/>
              <w:right w:val="nil"/>
            </w:tcBorders>
            <w:shd w:val="clear" w:color="000000" w:fill="FFFFFF"/>
            <w:noWrap/>
            <w:vAlign w:val="bottom"/>
            <w:hideMark/>
          </w:tcPr>
          <w:p w:rsidR="0093337E" w:rsidRPr="0093337E" w:rsidRDefault="0093337E" w:rsidP="00532660">
            <w:pPr>
              <w:overflowPunct/>
              <w:autoSpaceDE/>
              <w:autoSpaceDN/>
              <w:adjustRightInd/>
              <w:ind w:right="-60"/>
              <w:jc w:val="right"/>
              <w:textAlignment w:val="auto"/>
              <w:rPr>
                <w:color w:val="000000"/>
              </w:rPr>
            </w:pPr>
            <w:r w:rsidRPr="0093337E">
              <w:rPr>
                <w:color w:val="000000"/>
              </w:rPr>
              <w:t>0.190</w:t>
            </w:r>
          </w:p>
        </w:tc>
        <w:tc>
          <w:tcPr>
            <w:tcW w:w="0" w:type="auto"/>
            <w:tcBorders>
              <w:top w:val="nil"/>
              <w:left w:val="nil"/>
              <w:bottom w:val="nil"/>
              <w:right w:val="nil"/>
            </w:tcBorders>
            <w:shd w:val="clear" w:color="000000" w:fill="FFFFFF"/>
            <w:noWrap/>
            <w:vAlign w:val="bottom"/>
            <w:hideMark/>
          </w:tcPr>
          <w:p w:rsidR="0093337E" w:rsidRPr="0093337E" w:rsidRDefault="0093337E" w:rsidP="00532660">
            <w:pPr>
              <w:overflowPunct/>
              <w:autoSpaceDE/>
              <w:autoSpaceDN/>
              <w:adjustRightInd/>
              <w:ind w:left="-118"/>
              <w:textAlignment w:val="auto"/>
              <w:rPr>
                <w:color w:val="000000"/>
              </w:rPr>
            </w:pPr>
            <w:r w:rsidRPr="0093337E">
              <w:rPr>
                <w:color w:val="000000"/>
              </w:rPr>
              <w:t> </w:t>
            </w:r>
          </w:p>
        </w:tc>
        <w:tc>
          <w:tcPr>
            <w:tcW w:w="0" w:type="auto"/>
            <w:tcBorders>
              <w:top w:val="nil"/>
              <w:left w:val="nil"/>
              <w:bottom w:val="nil"/>
              <w:right w:val="nil"/>
            </w:tcBorders>
            <w:shd w:val="clear" w:color="000000" w:fill="FFFFFF"/>
            <w:noWrap/>
            <w:vAlign w:val="bottom"/>
            <w:hideMark/>
          </w:tcPr>
          <w:p w:rsidR="0093337E" w:rsidRPr="0093337E" w:rsidRDefault="00532660" w:rsidP="000D4BF4">
            <w:pPr>
              <w:overflowPunct/>
              <w:autoSpaceDE/>
              <w:autoSpaceDN/>
              <w:adjustRightInd/>
              <w:textAlignment w:val="auto"/>
              <w:rPr>
                <w:color w:val="000000"/>
              </w:rPr>
            </w:pPr>
            <w:r>
              <w:rPr>
                <w:color w:val="000000"/>
              </w:rPr>
              <w:t>(</w:t>
            </w:r>
            <w:r w:rsidR="0093337E" w:rsidRPr="0093337E">
              <w:rPr>
                <w:color w:val="000000"/>
              </w:rPr>
              <w:t>0.8</w:t>
            </w:r>
            <w:r>
              <w:rPr>
                <w:color w:val="000000"/>
              </w:rPr>
              <w:t>)</w:t>
            </w:r>
          </w:p>
        </w:tc>
      </w:tr>
      <w:tr w:rsidR="0093337E" w:rsidRPr="0093337E" w:rsidTr="0093337E">
        <w:trPr>
          <w:trHeight w:val="144"/>
        </w:trPr>
        <w:tc>
          <w:tcPr>
            <w:tcW w:w="2106" w:type="dxa"/>
            <w:tcBorders>
              <w:top w:val="nil"/>
              <w:left w:val="nil"/>
              <w:bottom w:val="nil"/>
              <w:right w:val="nil"/>
            </w:tcBorders>
            <w:shd w:val="clear" w:color="000000" w:fill="FFFFFF"/>
            <w:noWrap/>
            <w:vAlign w:val="bottom"/>
            <w:hideMark/>
          </w:tcPr>
          <w:p w:rsidR="0093337E" w:rsidRPr="0093337E" w:rsidRDefault="0093337E" w:rsidP="001B687A">
            <w:pPr>
              <w:overflowPunct/>
              <w:autoSpaceDE/>
              <w:autoSpaceDN/>
              <w:adjustRightInd/>
              <w:ind w:firstLineChars="100" w:firstLine="200"/>
              <w:textAlignment w:val="auto"/>
              <w:rPr>
                <w:color w:val="000000"/>
              </w:rPr>
            </w:pPr>
            <w:r w:rsidRPr="0093337E">
              <w:rPr>
                <w:color w:val="000000"/>
              </w:rPr>
              <w:t>Error Correction</w:t>
            </w:r>
            <w:r w:rsidRPr="0093337E">
              <w:rPr>
                <w:color w:val="000000"/>
                <w:vertAlign w:val="subscript"/>
              </w:rPr>
              <w:t>t</w:t>
            </w:r>
          </w:p>
        </w:tc>
        <w:tc>
          <w:tcPr>
            <w:tcW w:w="0" w:type="auto"/>
            <w:tcBorders>
              <w:top w:val="nil"/>
              <w:left w:val="nil"/>
              <w:bottom w:val="nil"/>
              <w:right w:val="nil"/>
            </w:tcBorders>
            <w:shd w:val="clear" w:color="000000" w:fill="FFFFFF"/>
            <w:noWrap/>
            <w:vAlign w:val="bottom"/>
            <w:hideMark/>
          </w:tcPr>
          <w:p w:rsidR="0093337E" w:rsidRPr="0093337E" w:rsidRDefault="0093337E" w:rsidP="00532660">
            <w:pPr>
              <w:overflowPunct/>
              <w:autoSpaceDE/>
              <w:autoSpaceDN/>
              <w:adjustRightInd/>
              <w:ind w:right="-74"/>
              <w:jc w:val="right"/>
              <w:textAlignment w:val="auto"/>
              <w:rPr>
                <w:color w:val="000000"/>
              </w:rPr>
            </w:pPr>
            <w:r w:rsidRPr="0093337E">
              <w:rPr>
                <w:color w:val="000000"/>
              </w:rPr>
              <w:t>-1.209</w:t>
            </w:r>
          </w:p>
        </w:tc>
        <w:tc>
          <w:tcPr>
            <w:tcW w:w="0" w:type="auto"/>
            <w:tcBorders>
              <w:top w:val="nil"/>
              <w:left w:val="nil"/>
              <w:bottom w:val="nil"/>
              <w:right w:val="nil"/>
            </w:tcBorders>
            <w:shd w:val="clear" w:color="000000" w:fill="FFFFFF"/>
            <w:noWrap/>
            <w:vAlign w:val="bottom"/>
            <w:hideMark/>
          </w:tcPr>
          <w:p w:rsidR="0093337E" w:rsidRPr="0093337E" w:rsidRDefault="0093337E" w:rsidP="00532660">
            <w:pPr>
              <w:overflowPunct/>
              <w:autoSpaceDE/>
              <w:autoSpaceDN/>
              <w:adjustRightInd/>
              <w:ind w:left="-45"/>
              <w:textAlignment w:val="auto"/>
              <w:rPr>
                <w:color w:val="000000"/>
              </w:rPr>
            </w:pPr>
            <w:r w:rsidRPr="0093337E">
              <w:rPr>
                <w:color w:val="000000"/>
                <w:vertAlign w:val="superscript"/>
              </w:rPr>
              <w:t>***</w:t>
            </w:r>
          </w:p>
        </w:tc>
        <w:tc>
          <w:tcPr>
            <w:tcW w:w="0" w:type="auto"/>
            <w:tcBorders>
              <w:top w:val="nil"/>
              <w:left w:val="nil"/>
              <w:bottom w:val="nil"/>
              <w:right w:val="nil"/>
            </w:tcBorders>
            <w:shd w:val="clear" w:color="000000" w:fill="FFFFFF"/>
            <w:noWrap/>
            <w:vAlign w:val="bottom"/>
            <w:hideMark/>
          </w:tcPr>
          <w:p w:rsidR="0093337E" w:rsidRPr="0093337E" w:rsidRDefault="00532660" w:rsidP="000D4BF4">
            <w:pPr>
              <w:overflowPunct/>
              <w:autoSpaceDE/>
              <w:autoSpaceDN/>
              <w:adjustRightInd/>
              <w:textAlignment w:val="auto"/>
              <w:rPr>
                <w:color w:val="000000"/>
              </w:rPr>
            </w:pPr>
            <w:r>
              <w:rPr>
                <w:color w:val="000000"/>
              </w:rPr>
              <w:t>(</w:t>
            </w:r>
            <w:r w:rsidR="0093337E" w:rsidRPr="0093337E">
              <w:rPr>
                <w:color w:val="000000"/>
              </w:rPr>
              <w:t>-3.3</w:t>
            </w:r>
            <w:r>
              <w:rPr>
                <w:color w:val="000000"/>
              </w:rPr>
              <w:t>)</w:t>
            </w:r>
          </w:p>
        </w:tc>
        <w:tc>
          <w:tcPr>
            <w:tcW w:w="0" w:type="auto"/>
            <w:tcBorders>
              <w:top w:val="nil"/>
              <w:left w:val="nil"/>
              <w:bottom w:val="nil"/>
              <w:right w:val="nil"/>
            </w:tcBorders>
            <w:shd w:val="clear" w:color="000000" w:fill="FFFFFF"/>
            <w:noWrap/>
            <w:vAlign w:val="bottom"/>
            <w:hideMark/>
          </w:tcPr>
          <w:p w:rsidR="0093337E" w:rsidRPr="0093337E" w:rsidRDefault="0093337E" w:rsidP="00532660">
            <w:pPr>
              <w:overflowPunct/>
              <w:autoSpaceDE/>
              <w:autoSpaceDN/>
              <w:adjustRightInd/>
              <w:ind w:right="-60"/>
              <w:jc w:val="right"/>
              <w:textAlignment w:val="auto"/>
              <w:rPr>
                <w:color w:val="000000"/>
              </w:rPr>
            </w:pPr>
            <w:r w:rsidRPr="0093337E">
              <w:rPr>
                <w:color w:val="000000"/>
              </w:rPr>
              <w:t>-1.117</w:t>
            </w:r>
          </w:p>
        </w:tc>
        <w:tc>
          <w:tcPr>
            <w:tcW w:w="0" w:type="auto"/>
            <w:tcBorders>
              <w:top w:val="nil"/>
              <w:left w:val="nil"/>
              <w:bottom w:val="nil"/>
              <w:right w:val="nil"/>
            </w:tcBorders>
            <w:shd w:val="clear" w:color="000000" w:fill="FFFFFF"/>
            <w:noWrap/>
            <w:vAlign w:val="bottom"/>
            <w:hideMark/>
          </w:tcPr>
          <w:p w:rsidR="0093337E" w:rsidRPr="0093337E" w:rsidRDefault="0093337E" w:rsidP="00532660">
            <w:pPr>
              <w:overflowPunct/>
              <w:autoSpaceDE/>
              <w:autoSpaceDN/>
              <w:adjustRightInd/>
              <w:ind w:left="-118"/>
              <w:textAlignment w:val="auto"/>
              <w:rPr>
                <w:color w:val="000000"/>
              </w:rPr>
            </w:pPr>
            <w:r w:rsidRPr="0093337E">
              <w:rPr>
                <w:color w:val="000000"/>
                <w:vertAlign w:val="superscript"/>
              </w:rPr>
              <w:t>***</w:t>
            </w:r>
          </w:p>
        </w:tc>
        <w:tc>
          <w:tcPr>
            <w:tcW w:w="0" w:type="auto"/>
            <w:tcBorders>
              <w:top w:val="nil"/>
              <w:left w:val="nil"/>
              <w:bottom w:val="nil"/>
              <w:right w:val="nil"/>
            </w:tcBorders>
            <w:shd w:val="clear" w:color="000000" w:fill="FFFFFF"/>
            <w:noWrap/>
            <w:vAlign w:val="bottom"/>
            <w:hideMark/>
          </w:tcPr>
          <w:p w:rsidR="0093337E" w:rsidRPr="0093337E" w:rsidRDefault="00532660" w:rsidP="000D4BF4">
            <w:pPr>
              <w:overflowPunct/>
              <w:autoSpaceDE/>
              <w:autoSpaceDN/>
              <w:adjustRightInd/>
              <w:textAlignment w:val="auto"/>
              <w:rPr>
                <w:color w:val="000000"/>
              </w:rPr>
            </w:pPr>
            <w:r>
              <w:rPr>
                <w:color w:val="000000"/>
              </w:rPr>
              <w:t>(</w:t>
            </w:r>
            <w:r w:rsidR="0093337E" w:rsidRPr="0093337E">
              <w:rPr>
                <w:color w:val="000000"/>
              </w:rPr>
              <w:t>-2.9</w:t>
            </w:r>
            <w:r>
              <w:rPr>
                <w:color w:val="000000"/>
              </w:rPr>
              <w:t>)</w:t>
            </w:r>
          </w:p>
        </w:tc>
      </w:tr>
      <w:tr w:rsidR="0093337E" w:rsidRPr="0093337E" w:rsidTr="0093337E">
        <w:trPr>
          <w:trHeight w:val="144"/>
        </w:trPr>
        <w:tc>
          <w:tcPr>
            <w:tcW w:w="2106" w:type="dxa"/>
            <w:tcBorders>
              <w:top w:val="nil"/>
              <w:left w:val="nil"/>
              <w:bottom w:val="nil"/>
              <w:right w:val="nil"/>
            </w:tcBorders>
            <w:shd w:val="clear" w:color="000000" w:fill="FFFFFF"/>
            <w:noWrap/>
            <w:vAlign w:val="bottom"/>
            <w:hideMark/>
          </w:tcPr>
          <w:p w:rsidR="0093337E" w:rsidRPr="0093337E" w:rsidRDefault="0093337E" w:rsidP="0093337E">
            <w:pPr>
              <w:overflowPunct/>
              <w:autoSpaceDE/>
              <w:autoSpaceDN/>
              <w:adjustRightInd/>
              <w:ind w:firstLineChars="100" w:firstLine="200"/>
              <w:textAlignment w:val="auto"/>
              <w:rPr>
                <w:color w:val="000000"/>
              </w:rPr>
            </w:pPr>
            <w:r w:rsidRPr="0093337E">
              <w:rPr>
                <w:color w:val="000000"/>
              </w:rPr>
              <w:t>ΔIncome Returns</w:t>
            </w:r>
            <w:r w:rsidRPr="0093337E">
              <w:rPr>
                <w:color w:val="000000"/>
                <w:vertAlign w:val="subscript"/>
              </w:rPr>
              <w:t>t-1</w:t>
            </w:r>
          </w:p>
        </w:tc>
        <w:tc>
          <w:tcPr>
            <w:tcW w:w="0" w:type="auto"/>
            <w:tcBorders>
              <w:top w:val="nil"/>
              <w:left w:val="nil"/>
              <w:bottom w:val="nil"/>
              <w:right w:val="nil"/>
            </w:tcBorders>
            <w:shd w:val="clear" w:color="000000" w:fill="FFFFFF"/>
            <w:noWrap/>
            <w:vAlign w:val="bottom"/>
            <w:hideMark/>
          </w:tcPr>
          <w:p w:rsidR="0093337E" w:rsidRPr="0093337E" w:rsidRDefault="0093337E" w:rsidP="00532660">
            <w:pPr>
              <w:overflowPunct/>
              <w:autoSpaceDE/>
              <w:autoSpaceDN/>
              <w:adjustRightInd/>
              <w:ind w:right="-74"/>
              <w:jc w:val="right"/>
              <w:textAlignment w:val="auto"/>
              <w:rPr>
                <w:color w:val="000000"/>
              </w:rPr>
            </w:pPr>
            <w:r w:rsidRPr="0093337E">
              <w:rPr>
                <w:color w:val="000000"/>
              </w:rPr>
              <w:t>0.113</w:t>
            </w:r>
          </w:p>
        </w:tc>
        <w:tc>
          <w:tcPr>
            <w:tcW w:w="0" w:type="auto"/>
            <w:tcBorders>
              <w:top w:val="nil"/>
              <w:left w:val="nil"/>
              <w:bottom w:val="nil"/>
              <w:right w:val="nil"/>
            </w:tcBorders>
            <w:shd w:val="clear" w:color="000000" w:fill="FFFFFF"/>
            <w:noWrap/>
            <w:vAlign w:val="bottom"/>
            <w:hideMark/>
          </w:tcPr>
          <w:p w:rsidR="0093337E" w:rsidRPr="0093337E" w:rsidRDefault="0093337E" w:rsidP="00532660">
            <w:pPr>
              <w:overflowPunct/>
              <w:autoSpaceDE/>
              <w:autoSpaceDN/>
              <w:adjustRightInd/>
              <w:ind w:left="-45"/>
              <w:textAlignment w:val="auto"/>
              <w:rPr>
                <w:color w:val="000000"/>
              </w:rPr>
            </w:pPr>
            <w:r w:rsidRPr="0093337E">
              <w:rPr>
                <w:color w:val="000000"/>
              </w:rPr>
              <w:t> </w:t>
            </w:r>
          </w:p>
        </w:tc>
        <w:tc>
          <w:tcPr>
            <w:tcW w:w="0" w:type="auto"/>
            <w:tcBorders>
              <w:top w:val="nil"/>
              <w:left w:val="nil"/>
              <w:bottom w:val="nil"/>
              <w:right w:val="nil"/>
            </w:tcBorders>
            <w:shd w:val="clear" w:color="000000" w:fill="FFFFFF"/>
            <w:noWrap/>
            <w:vAlign w:val="bottom"/>
            <w:hideMark/>
          </w:tcPr>
          <w:p w:rsidR="0093337E" w:rsidRPr="0093337E" w:rsidRDefault="00532660" w:rsidP="000D4BF4">
            <w:pPr>
              <w:overflowPunct/>
              <w:autoSpaceDE/>
              <w:autoSpaceDN/>
              <w:adjustRightInd/>
              <w:textAlignment w:val="auto"/>
              <w:rPr>
                <w:color w:val="000000"/>
              </w:rPr>
            </w:pPr>
            <w:r>
              <w:rPr>
                <w:color w:val="000000"/>
              </w:rPr>
              <w:t>(</w:t>
            </w:r>
            <w:r w:rsidR="0093337E" w:rsidRPr="0093337E">
              <w:rPr>
                <w:color w:val="000000"/>
              </w:rPr>
              <w:t>1.1</w:t>
            </w:r>
            <w:r>
              <w:rPr>
                <w:color w:val="000000"/>
              </w:rPr>
              <w:t>)</w:t>
            </w:r>
          </w:p>
        </w:tc>
        <w:tc>
          <w:tcPr>
            <w:tcW w:w="0" w:type="auto"/>
            <w:tcBorders>
              <w:top w:val="nil"/>
              <w:left w:val="nil"/>
              <w:bottom w:val="nil"/>
              <w:right w:val="nil"/>
            </w:tcBorders>
            <w:shd w:val="clear" w:color="000000" w:fill="FFFFFF"/>
            <w:noWrap/>
            <w:vAlign w:val="bottom"/>
            <w:hideMark/>
          </w:tcPr>
          <w:p w:rsidR="0093337E" w:rsidRPr="0093337E" w:rsidRDefault="0093337E" w:rsidP="00532660">
            <w:pPr>
              <w:overflowPunct/>
              <w:autoSpaceDE/>
              <w:autoSpaceDN/>
              <w:adjustRightInd/>
              <w:ind w:right="-60"/>
              <w:jc w:val="right"/>
              <w:textAlignment w:val="auto"/>
              <w:rPr>
                <w:color w:val="000000"/>
              </w:rPr>
            </w:pPr>
            <w:r w:rsidRPr="0093337E">
              <w:rPr>
                <w:color w:val="000000"/>
              </w:rPr>
              <w:t>0.120</w:t>
            </w:r>
          </w:p>
        </w:tc>
        <w:tc>
          <w:tcPr>
            <w:tcW w:w="0" w:type="auto"/>
            <w:tcBorders>
              <w:top w:val="nil"/>
              <w:left w:val="nil"/>
              <w:bottom w:val="nil"/>
              <w:right w:val="nil"/>
            </w:tcBorders>
            <w:shd w:val="clear" w:color="000000" w:fill="FFFFFF"/>
            <w:noWrap/>
            <w:vAlign w:val="bottom"/>
            <w:hideMark/>
          </w:tcPr>
          <w:p w:rsidR="0093337E" w:rsidRPr="0093337E" w:rsidRDefault="0093337E" w:rsidP="00532660">
            <w:pPr>
              <w:overflowPunct/>
              <w:autoSpaceDE/>
              <w:autoSpaceDN/>
              <w:adjustRightInd/>
              <w:ind w:left="-118"/>
              <w:textAlignment w:val="auto"/>
              <w:rPr>
                <w:color w:val="000000"/>
              </w:rPr>
            </w:pPr>
            <w:r w:rsidRPr="0093337E">
              <w:rPr>
                <w:color w:val="000000"/>
                <w:vertAlign w:val="superscript"/>
              </w:rPr>
              <w:t> </w:t>
            </w:r>
          </w:p>
        </w:tc>
        <w:tc>
          <w:tcPr>
            <w:tcW w:w="0" w:type="auto"/>
            <w:tcBorders>
              <w:top w:val="nil"/>
              <w:left w:val="nil"/>
              <w:bottom w:val="nil"/>
              <w:right w:val="nil"/>
            </w:tcBorders>
            <w:shd w:val="clear" w:color="000000" w:fill="FFFFFF"/>
            <w:noWrap/>
            <w:vAlign w:val="bottom"/>
            <w:hideMark/>
          </w:tcPr>
          <w:p w:rsidR="0093337E" w:rsidRPr="0093337E" w:rsidRDefault="00532660" w:rsidP="000D4BF4">
            <w:pPr>
              <w:overflowPunct/>
              <w:autoSpaceDE/>
              <w:autoSpaceDN/>
              <w:adjustRightInd/>
              <w:textAlignment w:val="auto"/>
              <w:rPr>
                <w:color w:val="000000"/>
              </w:rPr>
            </w:pPr>
            <w:r>
              <w:rPr>
                <w:color w:val="000000"/>
              </w:rPr>
              <w:t>(</w:t>
            </w:r>
            <w:r w:rsidR="0093337E" w:rsidRPr="0093337E">
              <w:rPr>
                <w:color w:val="000000"/>
              </w:rPr>
              <w:t>1.1</w:t>
            </w:r>
            <w:r>
              <w:rPr>
                <w:color w:val="000000"/>
              </w:rPr>
              <w:t>)</w:t>
            </w:r>
          </w:p>
        </w:tc>
      </w:tr>
      <w:tr w:rsidR="0093337E" w:rsidRPr="0093337E" w:rsidTr="0093337E">
        <w:trPr>
          <w:trHeight w:val="144"/>
        </w:trPr>
        <w:tc>
          <w:tcPr>
            <w:tcW w:w="2106" w:type="dxa"/>
            <w:tcBorders>
              <w:top w:val="nil"/>
              <w:left w:val="nil"/>
              <w:bottom w:val="nil"/>
              <w:right w:val="nil"/>
            </w:tcBorders>
            <w:shd w:val="clear" w:color="000000" w:fill="FFFFFF"/>
            <w:noWrap/>
            <w:vAlign w:val="bottom"/>
            <w:hideMark/>
          </w:tcPr>
          <w:p w:rsidR="0093337E" w:rsidRPr="0093337E" w:rsidRDefault="0093337E" w:rsidP="0093337E">
            <w:pPr>
              <w:overflowPunct/>
              <w:autoSpaceDE/>
              <w:autoSpaceDN/>
              <w:adjustRightInd/>
              <w:ind w:firstLineChars="100" w:firstLine="200"/>
              <w:textAlignment w:val="auto"/>
              <w:rPr>
                <w:color w:val="000000"/>
              </w:rPr>
            </w:pPr>
            <w:r w:rsidRPr="0093337E">
              <w:rPr>
                <w:color w:val="000000"/>
              </w:rPr>
              <w:t>ΔCRE Tightening</w:t>
            </w:r>
            <w:r w:rsidRPr="0093337E">
              <w:rPr>
                <w:color w:val="000000"/>
                <w:vertAlign w:val="subscript"/>
              </w:rPr>
              <w:t>t-1</w:t>
            </w:r>
          </w:p>
        </w:tc>
        <w:tc>
          <w:tcPr>
            <w:tcW w:w="0" w:type="auto"/>
            <w:tcBorders>
              <w:top w:val="nil"/>
              <w:left w:val="nil"/>
              <w:bottom w:val="nil"/>
              <w:right w:val="nil"/>
            </w:tcBorders>
            <w:shd w:val="clear" w:color="000000" w:fill="FFFFFF"/>
            <w:noWrap/>
            <w:vAlign w:val="bottom"/>
            <w:hideMark/>
          </w:tcPr>
          <w:p w:rsidR="0093337E" w:rsidRPr="0093337E" w:rsidRDefault="0093337E" w:rsidP="00532660">
            <w:pPr>
              <w:overflowPunct/>
              <w:autoSpaceDE/>
              <w:autoSpaceDN/>
              <w:adjustRightInd/>
              <w:ind w:right="-74"/>
              <w:jc w:val="right"/>
              <w:textAlignment w:val="auto"/>
              <w:rPr>
                <w:color w:val="000000"/>
              </w:rPr>
            </w:pPr>
            <w:r w:rsidRPr="0093337E">
              <w:rPr>
                <w:color w:val="000000"/>
              </w:rPr>
              <w:t>-0.210</w:t>
            </w:r>
          </w:p>
        </w:tc>
        <w:tc>
          <w:tcPr>
            <w:tcW w:w="0" w:type="auto"/>
            <w:tcBorders>
              <w:top w:val="nil"/>
              <w:left w:val="nil"/>
              <w:bottom w:val="nil"/>
              <w:right w:val="nil"/>
            </w:tcBorders>
            <w:shd w:val="clear" w:color="000000" w:fill="FFFFFF"/>
            <w:noWrap/>
            <w:vAlign w:val="bottom"/>
            <w:hideMark/>
          </w:tcPr>
          <w:p w:rsidR="0093337E" w:rsidRPr="0093337E" w:rsidRDefault="0093337E" w:rsidP="00532660">
            <w:pPr>
              <w:overflowPunct/>
              <w:autoSpaceDE/>
              <w:autoSpaceDN/>
              <w:adjustRightInd/>
              <w:ind w:left="-45"/>
              <w:textAlignment w:val="auto"/>
              <w:rPr>
                <w:color w:val="000000"/>
              </w:rPr>
            </w:pPr>
            <w:r w:rsidRPr="0093337E">
              <w:rPr>
                <w:color w:val="000000"/>
                <w:vertAlign w:val="superscript"/>
              </w:rPr>
              <w:t>**</w:t>
            </w:r>
          </w:p>
        </w:tc>
        <w:tc>
          <w:tcPr>
            <w:tcW w:w="0" w:type="auto"/>
            <w:tcBorders>
              <w:top w:val="nil"/>
              <w:left w:val="nil"/>
              <w:bottom w:val="nil"/>
              <w:right w:val="nil"/>
            </w:tcBorders>
            <w:shd w:val="clear" w:color="000000" w:fill="FFFFFF"/>
            <w:noWrap/>
            <w:vAlign w:val="bottom"/>
            <w:hideMark/>
          </w:tcPr>
          <w:p w:rsidR="0093337E" w:rsidRPr="0093337E" w:rsidRDefault="00532660" w:rsidP="000D4BF4">
            <w:pPr>
              <w:overflowPunct/>
              <w:autoSpaceDE/>
              <w:autoSpaceDN/>
              <w:adjustRightInd/>
              <w:textAlignment w:val="auto"/>
              <w:rPr>
                <w:color w:val="000000"/>
              </w:rPr>
            </w:pPr>
            <w:r>
              <w:rPr>
                <w:color w:val="000000"/>
              </w:rPr>
              <w:t>(</w:t>
            </w:r>
            <w:r w:rsidR="0093337E" w:rsidRPr="0093337E">
              <w:rPr>
                <w:color w:val="000000"/>
              </w:rPr>
              <w:t>-2.3</w:t>
            </w:r>
            <w:r>
              <w:rPr>
                <w:color w:val="000000"/>
              </w:rPr>
              <w:t>)</w:t>
            </w:r>
          </w:p>
        </w:tc>
        <w:tc>
          <w:tcPr>
            <w:tcW w:w="0" w:type="auto"/>
            <w:tcBorders>
              <w:top w:val="nil"/>
              <w:left w:val="nil"/>
              <w:bottom w:val="nil"/>
              <w:right w:val="nil"/>
            </w:tcBorders>
            <w:shd w:val="clear" w:color="000000" w:fill="FFFFFF"/>
            <w:noWrap/>
            <w:vAlign w:val="bottom"/>
            <w:hideMark/>
          </w:tcPr>
          <w:p w:rsidR="0093337E" w:rsidRPr="0093337E" w:rsidRDefault="0093337E" w:rsidP="00532660">
            <w:pPr>
              <w:overflowPunct/>
              <w:autoSpaceDE/>
              <w:autoSpaceDN/>
              <w:adjustRightInd/>
              <w:ind w:right="-60"/>
              <w:jc w:val="right"/>
              <w:textAlignment w:val="auto"/>
              <w:rPr>
                <w:color w:val="000000"/>
              </w:rPr>
            </w:pPr>
            <w:r w:rsidRPr="0093337E">
              <w:rPr>
                <w:color w:val="000000"/>
              </w:rPr>
              <w:t>-0.181</w:t>
            </w:r>
          </w:p>
        </w:tc>
        <w:tc>
          <w:tcPr>
            <w:tcW w:w="0" w:type="auto"/>
            <w:tcBorders>
              <w:top w:val="nil"/>
              <w:left w:val="nil"/>
              <w:bottom w:val="nil"/>
              <w:right w:val="nil"/>
            </w:tcBorders>
            <w:shd w:val="clear" w:color="000000" w:fill="FFFFFF"/>
            <w:noWrap/>
            <w:vAlign w:val="bottom"/>
            <w:hideMark/>
          </w:tcPr>
          <w:p w:rsidR="0093337E" w:rsidRPr="0093337E" w:rsidRDefault="0093337E" w:rsidP="00532660">
            <w:pPr>
              <w:overflowPunct/>
              <w:autoSpaceDE/>
              <w:autoSpaceDN/>
              <w:adjustRightInd/>
              <w:ind w:left="-118"/>
              <w:textAlignment w:val="auto"/>
              <w:rPr>
                <w:color w:val="000000"/>
              </w:rPr>
            </w:pPr>
            <w:r w:rsidRPr="0093337E">
              <w:rPr>
                <w:color w:val="000000"/>
                <w:vertAlign w:val="superscript"/>
              </w:rPr>
              <w:t>*</w:t>
            </w:r>
          </w:p>
        </w:tc>
        <w:tc>
          <w:tcPr>
            <w:tcW w:w="0" w:type="auto"/>
            <w:tcBorders>
              <w:top w:val="nil"/>
              <w:left w:val="nil"/>
              <w:bottom w:val="nil"/>
              <w:right w:val="nil"/>
            </w:tcBorders>
            <w:shd w:val="clear" w:color="000000" w:fill="FFFFFF"/>
            <w:noWrap/>
            <w:vAlign w:val="bottom"/>
            <w:hideMark/>
          </w:tcPr>
          <w:p w:rsidR="0093337E" w:rsidRPr="0093337E" w:rsidRDefault="00532660" w:rsidP="000D4BF4">
            <w:pPr>
              <w:overflowPunct/>
              <w:autoSpaceDE/>
              <w:autoSpaceDN/>
              <w:adjustRightInd/>
              <w:textAlignment w:val="auto"/>
              <w:rPr>
                <w:color w:val="000000"/>
              </w:rPr>
            </w:pPr>
            <w:r>
              <w:rPr>
                <w:color w:val="000000"/>
              </w:rPr>
              <w:t>(</w:t>
            </w:r>
            <w:r w:rsidR="0093337E" w:rsidRPr="0093337E">
              <w:rPr>
                <w:color w:val="000000"/>
              </w:rPr>
              <w:t>-1.8</w:t>
            </w:r>
            <w:r>
              <w:rPr>
                <w:color w:val="000000"/>
              </w:rPr>
              <w:t>)</w:t>
            </w:r>
          </w:p>
        </w:tc>
      </w:tr>
      <w:tr w:rsidR="0093337E" w:rsidRPr="0093337E" w:rsidTr="0093337E">
        <w:trPr>
          <w:trHeight w:val="144"/>
        </w:trPr>
        <w:tc>
          <w:tcPr>
            <w:tcW w:w="2106" w:type="dxa"/>
            <w:tcBorders>
              <w:top w:val="nil"/>
              <w:left w:val="nil"/>
              <w:bottom w:val="nil"/>
              <w:right w:val="nil"/>
            </w:tcBorders>
            <w:shd w:val="clear" w:color="000000" w:fill="FFFFFF"/>
            <w:noWrap/>
            <w:vAlign w:val="bottom"/>
            <w:hideMark/>
          </w:tcPr>
          <w:p w:rsidR="0093337E" w:rsidRPr="0093337E" w:rsidRDefault="0093337E" w:rsidP="0093337E">
            <w:pPr>
              <w:overflowPunct/>
              <w:autoSpaceDE/>
              <w:autoSpaceDN/>
              <w:adjustRightInd/>
              <w:ind w:firstLineChars="100" w:firstLine="200"/>
              <w:textAlignment w:val="auto"/>
              <w:rPr>
                <w:color w:val="000000"/>
              </w:rPr>
            </w:pPr>
            <w:r w:rsidRPr="0093337E">
              <w:rPr>
                <w:color w:val="000000"/>
              </w:rPr>
              <w:t>ΔBaa</w:t>
            </w:r>
            <w:r w:rsidRPr="0093337E">
              <w:rPr>
                <w:color w:val="000000"/>
                <w:vertAlign w:val="subscript"/>
              </w:rPr>
              <w:t>t-1</w:t>
            </w:r>
          </w:p>
        </w:tc>
        <w:tc>
          <w:tcPr>
            <w:tcW w:w="0" w:type="auto"/>
            <w:tcBorders>
              <w:top w:val="nil"/>
              <w:left w:val="nil"/>
              <w:bottom w:val="nil"/>
              <w:right w:val="nil"/>
            </w:tcBorders>
            <w:shd w:val="clear" w:color="000000" w:fill="FFFFFF"/>
            <w:noWrap/>
            <w:vAlign w:val="bottom"/>
            <w:hideMark/>
          </w:tcPr>
          <w:p w:rsidR="0093337E" w:rsidRPr="0093337E" w:rsidRDefault="0093337E" w:rsidP="0093337E">
            <w:pPr>
              <w:overflowPunct/>
              <w:autoSpaceDE/>
              <w:autoSpaceDN/>
              <w:adjustRightInd/>
              <w:jc w:val="right"/>
              <w:textAlignment w:val="auto"/>
              <w:rPr>
                <w:color w:val="000000"/>
              </w:rPr>
            </w:pPr>
            <w:r w:rsidRPr="0093337E">
              <w:rPr>
                <w:color w:val="000000"/>
              </w:rPr>
              <w:t> </w:t>
            </w:r>
          </w:p>
        </w:tc>
        <w:tc>
          <w:tcPr>
            <w:tcW w:w="0" w:type="auto"/>
            <w:tcBorders>
              <w:top w:val="nil"/>
              <w:left w:val="nil"/>
              <w:bottom w:val="nil"/>
              <w:right w:val="nil"/>
            </w:tcBorders>
            <w:shd w:val="clear" w:color="000000" w:fill="FFFFFF"/>
            <w:noWrap/>
            <w:vAlign w:val="bottom"/>
            <w:hideMark/>
          </w:tcPr>
          <w:p w:rsidR="0093337E" w:rsidRPr="0093337E" w:rsidRDefault="0093337E" w:rsidP="0093337E">
            <w:pPr>
              <w:overflowPunct/>
              <w:autoSpaceDE/>
              <w:autoSpaceDN/>
              <w:adjustRightInd/>
              <w:textAlignment w:val="auto"/>
              <w:rPr>
                <w:color w:val="000000"/>
              </w:rPr>
            </w:pPr>
            <w:r w:rsidRPr="0093337E">
              <w:rPr>
                <w:color w:val="000000"/>
                <w:vertAlign w:val="superscript"/>
              </w:rPr>
              <w:t> </w:t>
            </w:r>
          </w:p>
        </w:tc>
        <w:tc>
          <w:tcPr>
            <w:tcW w:w="0" w:type="auto"/>
            <w:tcBorders>
              <w:top w:val="nil"/>
              <w:left w:val="nil"/>
              <w:bottom w:val="nil"/>
              <w:right w:val="nil"/>
            </w:tcBorders>
            <w:shd w:val="clear" w:color="000000" w:fill="FFFFFF"/>
            <w:noWrap/>
            <w:vAlign w:val="bottom"/>
            <w:hideMark/>
          </w:tcPr>
          <w:p w:rsidR="0093337E" w:rsidRPr="0093337E" w:rsidRDefault="0093337E" w:rsidP="0093337E">
            <w:pPr>
              <w:overflowPunct/>
              <w:autoSpaceDE/>
              <w:autoSpaceDN/>
              <w:adjustRightInd/>
              <w:jc w:val="center"/>
              <w:textAlignment w:val="auto"/>
              <w:rPr>
                <w:color w:val="000000"/>
              </w:rPr>
            </w:pPr>
            <w:r w:rsidRPr="0093337E">
              <w:rPr>
                <w:color w:val="000000"/>
              </w:rPr>
              <w:t> </w:t>
            </w:r>
          </w:p>
        </w:tc>
        <w:tc>
          <w:tcPr>
            <w:tcW w:w="0" w:type="auto"/>
            <w:tcBorders>
              <w:top w:val="nil"/>
              <w:left w:val="nil"/>
              <w:bottom w:val="nil"/>
              <w:right w:val="nil"/>
            </w:tcBorders>
            <w:shd w:val="clear" w:color="000000" w:fill="FFFFFF"/>
            <w:noWrap/>
            <w:vAlign w:val="bottom"/>
            <w:hideMark/>
          </w:tcPr>
          <w:p w:rsidR="0093337E" w:rsidRPr="0093337E" w:rsidRDefault="0093337E" w:rsidP="00532660">
            <w:pPr>
              <w:overflowPunct/>
              <w:autoSpaceDE/>
              <w:autoSpaceDN/>
              <w:adjustRightInd/>
              <w:ind w:right="-60"/>
              <w:jc w:val="right"/>
              <w:textAlignment w:val="auto"/>
              <w:rPr>
                <w:color w:val="000000"/>
              </w:rPr>
            </w:pPr>
            <w:r w:rsidRPr="0093337E">
              <w:rPr>
                <w:color w:val="000000"/>
              </w:rPr>
              <w:t>-0.084</w:t>
            </w:r>
          </w:p>
        </w:tc>
        <w:tc>
          <w:tcPr>
            <w:tcW w:w="0" w:type="auto"/>
            <w:tcBorders>
              <w:top w:val="nil"/>
              <w:left w:val="nil"/>
              <w:bottom w:val="nil"/>
              <w:right w:val="nil"/>
            </w:tcBorders>
            <w:shd w:val="clear" w:color="000000" w:fill="FFFFFF"/>
            <w:noWrap/>
            <w:vAlign w:val="bottom"/>
            <w:hideMark/>
          </w:tcPr>
          <w:p w:rsidR="0093337E" w:rsidRPr="0093337E" w:rsidRDefault="0093337E" w:rsidP="00532660">
            <w:pPr>
              <w:overflowPunct/>
              <w:autoSpaceDE/>
              <w:autoSpaceDN/>
              <w:adjustRightInd/>
              <w:ind w:left="-118"/>
              <w:textAlignment w:val="auto"/>
              <w:rPr>
                <w:color w:val="000000"/>
              </w:rPr>
            </w:pPr>
            <w:r w:rsidRPr="0093337E">
              <w:rPr>
                <w:color w:val="000000"/>
                <w:vertAlign w:val="superscript"/>
              </w:rPr>
              <w:t> </w:t>
            </w:r>
          </w:p>
        </w:tc>
        <w:tc>
          <w:tcPr>
            <w:tcW w:w="0" w:type="auto"/>
            <w:tcBorders>
              <w:top w:val="nil"/>
              <w:left w:val="nil"/>
              <w:bottom w:val="nil"/>
              <w:right w:val="nil"/>
            </w:tcBorders>
            <w:shd w:val="clear" w:color="000000" w:fill="FFFFFF"/>
            <w:noWrap/>
            <w:vAlign w:val="bottom"/>
            <w:hideMark/>
          </w:tcPr>
          <w:p w:rsidR="0093337E" w:rsidRPr="0093337E" w:rsidRDefault="00532660" w:rsidP="000D4BF4">
            <w:pPr>
              <w:overflowPunct/>
              <w:autoSpaceDE/>
              <w:autoSpaceDN/>
              <w:adjustRightInd/>
              <w:textAlignment w:val="auto"/>
              <w:rPr>
                <w:color w:val="000000"/>
              </w:rPr>
            </w:pPr>
            <w:r>
              <w:rPr>
                <w:color w:val="000000"/>
              </w:rPr>
              <w:t>(</w:t>
            </w:r>
            <w:r w:rsidR="0093337E" w:rsidRPr="0093337E">
              <w:rPr>
                <w:color w:val="000000"/>
              </w:rPr>
              <w:t>-0.7</w:t>
            </w:r>
            <w:r>
              <w:rPr>
                <w:color w:val="000000"/>
              </w:rPr>
              <w:t>)</w:t>
            </w:r>
          </w:p>
        </w:tc>
      </w:tr>
      <w:tr w:rsidR="0093337E" w:rsidRPr="0093337E" w:rsidTr="0093337E">
        <w:trPr>
          <w:trHeight w:val="144"/>
        </w:trPr>
        <w:tc>
          <w:tcPr>
            <w:tcW w:w="2106" w:type="dxa"/>
            <w:tcBorders>
              <w:top w:val="nil"/>
              <w:left w:val="nil"/>
              <w:bottom w:val="nil"/>
              <w:right w:val="nil"/>
            </w:tcBorders>
            <w:shd w:val="clear" w:color="000000" w:fill="FFFFFF"/>
            <w:noWrap/>
            <w:vAlign w:val="bottom"/>
            <w:hideMark/>
          </w:tcPr>
          <w:p w:rsidR="0093337E" w:rsidRPr="0093337E" w:rsidRDefault="0093337E" w:rsidP="0093337E">
            <w:pPr>
              <w:overflowPunct/>
              <w:autoSpaceDE/>
              <w:autoSpaceDN/>
              <w:adjustRightInd/>
              <w:ind w:firstLineChars="100" w:firstLine="200"/>
              <w:textAlignment w:val="auto"/>
              <w:rPr>
                <w:color w:val="000000"/>
              </w:rPr>
            </w:pPr>
            <w:r w:rsidRPr="0093337E">
              <w:rPr>
                <w:color w:val="000000"/>
              </w:rPr>
              <w:t>Δ(R</w:t>
            </w:r>
            <w:r w:rsidRPr="0093337E">
              <w:rPr>
                <w:color w:val="000000"/>
                <w:vertAlign w:val="subscript"/>
              </w:rPr>
              <w:t>M</w:t>
            </w:r>
            <w:r w:rsidRPr="0093337E">
              <w:rPr>
                <w:color w:val="000000"/>
              </w:rPr>
              <w:t xml:space="preserve"> - R</w:t>
            </w:r>
            <w:r w:rsidRPr="0093337E">
              <w:rPr>
                <w:color w:val="000000"/>
                <w:vertAlign w:val="subscript"/>
              </w:rPr>
              <w:t>F</w:t>
            </w:r>
            <w:r w:rsidRPr="0093337E">
              <w:rPr>
                <w:color w:val="000000"/>
              </w:rPr>
              <w:t>)</w:t>
            </w:r>
            <w:r w:rsidRPr="0093337E">
              <w:rPr>
                <w:color w:val="000000"/>
                <w:vertAlign w:val="subscript"/>
              </w:rPr>
              <w:t>t-1</w:t>
            </w:r>
          </w:p>
        </w:tc>
        <w:tc>
          <w:tcPr>
            <w:tcW w:w="0" w:type="auto"/>
            <w:tcBorders>
              <w:top w:val="nil"/>
              <w:left w:val="nil"/>
              <w:bottom w:val="nil"/>
              <w:right w:val="nil"/>
            </w:tcBorders>
            <w:shd w:val="clear" w:color="000000" w:fill="FFFFFF"/>
            <w:noWrap/>
            <w:vAlign w:val="bottom"/>
            <w:hideMark/>
          </w:tcPr>
          <w:p w:rsidR="0093337E" w:rsidRPr="0093337E" w:rsidRDefault="0093337E" w:rsidP="0093337E">
            <w:pPr>
              <w:overflowPunct/>
              <w:autoSpaceDE/>
              <w:autoSpaceDN/>
              <w:adjustRightInd/>
              <w:jc w:val="right"/>
              <w:textAlignment w:val="auto"/>
              <w:rPr>
                <w:color w:val="000000"/>
              </w:rPr>
            </w:pPr>
            <w:r w:rsidRPr="0093337E">
              <w:rPr>
                <w:color w:val="000000"/>
              </w:rPr>
              <w:t> </w:t>
            </w:r>
          </w:p>
        </w:tc>
        <w:tc>
          <w:tcPr>
            <w:tcW w:w="0" w:type="auto"/>
            <w:tcBorders>
              <w:top w:val="nil"/>
              <w:left w:val="nil"/>
              <w:bottom w:val="nil"/>
              <w:right w:val="nil"/>
            </w:tcBorders>
            <w:shd w:val="clear" w:color="000000" w:fill="FFFFFF"/>
            <w:noWrap/>
            <w:vAlign w:val="bottom"/>
            <w:hideMark/>
          </w:tcPr>
          <w:p w:rsidR="0093337E" w:rsidRPr="0093337E" w:rsidRDefault="0093337E" w:rsidP="0093337E">
            <w:pPr>
              <w:overflowPunct/>
              <w:autoSpaceDE/>
              <w:autoSpaceDN/>
              <w:adjustRightInd/>
              <w:textAlignment w:val="auto"/>
              <w:rPr>
                <w:color w:val="000000"/>
              </w:rPr>
            </w:pPr>
            <w:r w:rsidRPr="0093337E">
              <w:rPr>
                <w:color w:val="000000"/>
                <w:vertAlign w:val="superscript"/>
              </w:rPr>
              <w:t> </w:t>
            </w:r>
          </w:p>
        </w:tc>
        <w:tc>
          <w:tcPr>
            <w:tcW w:w="0" w:type="auto"/>
            <w:tcBorders>
              <w:top w:val="nil"/>
              <w:left w:val="nil"/>
              <w:bottom w:val="nil"/>
              <w:right w:val="nil"/>
            </w:tcBorders>
            <w:shd w:val="clear" w:color="000000" w:fill="FFFFFF"/>
            <w:noWrap/>
            <w:vAlign w:val="bottom"/>
            <w:hideMark/>
          </w:tcPr>
          <w:p w:rsidR="0093337E" w:rsidRPr="0093337E" w:rsidRDefault="0093337E" w:rsidP="0093337E">
            <w:pPr>
              <w:overflowPunct/>
              <w:autoSpaceDE/>
              <w:autoSpaceDN/>
              <w:adjustRightInd/>
              <w:jc w:val="center"/>
              <w:textAlignment w:val="auto"/>
              <w:rPr>
                <w:color w:val="000000"/>
              </w:rPr>
            </w:pPr>
            <w:r w:rsidRPr="0093337E">
              <w:rPr>
                <w:color w:val="000000"/>
              </w:rPr>
              <w:t> </w:t>
            </w:r>
          </w:p>
        </w:tc>
        <w:tc>
          <w:tcPr>
            <w:tcW w:w="0" w:type="auto"/>
            <w:tcBorders>
              <w:top w:val="nil"/>
              <w:left w:val="nil"/>
              <w:bottom w:val="nil"/>
              <w:right w:val="nil"/>
            </w:tcBorders>
            <w:shd w:val="clear" w:color="000000" w:fill="FFFFFF"/>
            <w:noWrap/>
            <w:vAlign w:val="bottom"/>
            <w:hideMark/>
          </w:tcPr>
          <w:p w:rsidR="0093337E" w:rsidRPr="0093337E" w:rsidRDefault="0093337E" w:rsidP="00532660">
            <w:pPr>
              <w:overflowPunct/>
              <w:autoSpaceDE/>
              <w:autoSpaceDN/>
              <w:adjustRightInd/>
              <w:ind w:right="-60"/>
              <w:jc w:val="right"/>
              <w:textAlignment w:val="auto"/>
              <w:rPr>
                <w:color w:val="000000"/>
              </w:rPr>
            </w:pPr>
            <w:r w:rsidRPr="0093337E">
              <w:rPr>
                <w:color w:val="000000"/>
              </w:rPr>
              <w:t>0.071</w:t>
            </w:r>
          </w:p>
        </w:tc>
        <w:tc>
          <w:tcPr>
            <w:tcW w:w="0" w:type="auto"/>
            <w:tcBorders>
              <w:top w:val="nil"/>
              <w:left w:val="nil"/>
              <w:bottom w:val="nil"/>
              <w:right w:val="nil"/>
            </w:tcBorders>
            <w:shd w:val="clear" w:color="000000" w:fill="FFFFFF"/>
            <w:noWrap/>
            <w:vAlign w:val="bottom"/>
            <w:hideMark/>
          </w:tcPr>
          <w:p w:rsidR="0093337E" w:rsidRPr="0093337E" w:rsidRDefault="0093337E" w:rsidP="00532660">
            <w:pPr>
              <w:overflowPunct/>
              <w:autoSpaceDE/>
              <w:autoSpaceDN/>
              <w:adjustRightInd/>
              <w:ind w:left="-118"/>
              <w:textAlignment w:val="auto"/>
              <w:rPr>
                <w:color w:val="000000"/>
              </w:rPr>
            </w:pPr>
            <w:r w:rsidRPr="0093337E">
              <w:rPr>
                <w:color w:val="000000"/>
                <w:vertAlign w:val="superscript"/>
              </w:rPr>
              <w:t> </w:t>
            </w:r>
          </w:p>
        </w:tc>
        <w:tc>
          <w:tcPr>
            <w:tcW w:w="0" w:type="auto"/>
            <w:tcBorders>
              <w:top w:val="nil"/>
              <w:left w:val="nil"/>
              <w:bottom w:val="nil"/>
              <w:right w:val="nil"/>
            </w:tcBorders>
            <w:shd w:val="clear" w:color="000000" w:fill="FFFFFF"/>
            <w:noWrap/>
            <w:vAlign w:val="bottom"/>
            <w:hideMark/>
          </w:tcPr>
          <w:p w:rsidR="0093337E" w:rsidRPr="0093337E" w:rsidRDefault="00532660" w:rsidP="000D4BF4">
            <w:pPr>
              <w:overflowPunct/>
              <w:autoSpaceDE/>
              <w:autoSpaceDN/>
              <w:adjustRightInd/>
              <w:textAlignment w:val="auto"/>
              <w:rPr>
                <w:color w:val="000000"/>
              </w:rPr>
            </w:pPr>
            <w:r>
              <w:rPr>
                <w:color w:val="000000"/>
              </w:rPr>
              <w:t>(</w:t>
            </w:r>
            <w:r w:rsidR="0093337E" w:rsidRPr="0093337E">
              <w:rPr>
                <w:color w:val="000000"/>
              </w:rPr>
              <w:t>0.6</w:t>
            </w:r>
            <w:r>
              <w:rPr>
                <w:color w:val="000000"/>
              </w:rPr>
              <w:t>)</w:t>
            </w:r>
          </w:p>
        </w:tc>
      </w:tr>
      <w:tr w:rsidR="0093337E" w:rsidRPr="0093337E" w:rsidTr="0093337E">
        <w:trPr>
          <w:trHeight w:val="144"/>
        </w:trPr>
        <w:tc>
          <w:tcPr>
            <w:tcW w:w="2106" w:type="dxa"/>
            <w:tcBorders>
              <w:top w:val="nil"/>
              <w:left w:val="nil"/>
              <w:bottom w:val="nil"/>
              <w:right w:val="nil"/>
            </w:tcBorders>
            <w:shd w:val="clear" w:color="000000" w:fill="FFFFFF"/>
            <w:noWrap/>
            <w:vAlign w:val="bottom"/>
            <w:hideMark/>
          </w:tcPr>
          <w:p w:rsidR="0093337E" w:rsidRPr="0093337E" w:rsidRDefault="0093337E" w:rsidP="0093337E">
            <w:pPr>
              <w:overflowPunct/>
              <w:autoSpaceDE/>
              <w:autoSpaceDN/>
              <w:adjustRightInd/>
              <w:ind w:firstLineChars="100" w:firstLine="200"/>
              <w:textAlignment w:val="auto"/>
              <w:rPr>
                <w:color w:val="000000"/>
              </w:rPr>
            </w:pPr>
            <w:r w:rsidRPr="0093337E">
              <w:rPr>
                <w:color w:val="000000"/>
              </w:rPr>
              <w:t>ΔHML</w:t>
            </w:r>
            <w:r w:rsidRPr="0093337E">
              <w:rPr>
                <w:color w:val="000000"/>
                <w:vertAlign w:val="subscript"/>
              </w:rPr>
              <w:t>t-1</w:t>
            </w:r>
          </w:p>
        </w:tc>
        <w:tc>
          <w:tcPr>
            <w:tcW w:w="0" w:type="auto"/>
            <w:tcBorders>
              <w:top w:val="nil"/>
              <w:left w:val="nil"/>
              <w:bottom w:val="nil"/>
              <w:right w:val="nil"/>
            </w:tcBorders>
            <w:shd w:val="clear" w:color="000000" w:fill="FFFFFF"/>
            <w:noWrap/>
            <w:vAlign w:val="bottom"/>
            <w:hideMark/>
          </w:tcPr>
          <w:p w:rsidR="0093337E" w:rsidRPr="0093337E" w:rsidRDefault="0093337E" w:rsidP="0093337E">
            <w:pPr>
              <w:overflowPunct/>
              <w:autoSpaceDE/>
              <w:autoSpaceDN/>
              <w:adjustRightInd/>
              <w:jc w:val="right"/>
              <w:textAlignment w:val="auto"/>
              <w:rPr>
                <w:color w:val="000000"/>
              </w:rPr>
            </w:pPr>
            <w:r w:rsidRPr="0093337E">
              <w:rPr>
                <w:color w:val="000000"/>
              </w:rPr>
              <w:t> </w:t>
            </w:r>
          </w:p>
        </w:tc>
        <w:tc>
          <w:tcPr>
            <w:tcW w:w="0" w:type="auto"/>
            <w:tcBorders>
              <w:top w:val="nil"/>
              <w:left w:val="nil"/>
              <w:bottom w:val="nil"/>
              <w:right w:val="nil"/>
            </w:tcBorders>
            <w:shd w:val="clear" w:color="000000" w:fill="FFFFFF"/>
            <w:noWrap/>
            <w:vAlign w:val="bottom"/>
            <w:hideMark/>
          </w:tcPr>
          <w:p w:rsidR="0093337E" w:rsidRPr="0093337E" w:rsidRDefault="0093337E" w:rsidP="0093337E">
            <w:pPr>
              <w:overflowPunct/>
              <w:autoSpaceDE/>
              <w:autoSpaceDN/>
              <w:adjustRightInd/>
              <w:textAlignment w:val="auto"/>
              <w:rPr>
                <w:color w:val="000000"/>
              </w:rPr>
            </w:pPr>
            <w:r w:rsidRPr="0093337E">
              <w:rPr>
                <w:color w:val="000000"/>
                <w:vertAlign w:val="superscript"/>
              </w:rPr>
              <w:t> </w:t>
            </w:r>
          </w:p>
        </w:tc>
        <w:tc>
          <w:tcPr>
            <w:tcW w:w="0" w:type="auto"/>
            <w:tcBorders>
              <w:top w:val="nil"/>
              <w:left w:val="nil"/>
              <w:bottom w:val="nil"/>
              <w:right w:val="nil"/>
            </w:tcBorders>
            <w:shd w:val="clear" w:color="000000" w:fill="FFFFFF"/>
            <w:noWrap/>
            <w:vAlign w:val="bottom"/>
            <w:hideMark/>
          </w:tcPr>
          <w:p w:rsidR="0093337E" w:rsidRPr="0093337E" w:rsidRDefault="0093337E" w:rsidP="0093337E">
            <w:pPr>
              <w:overflowPunct/>
              <w:autoSpaceDE/>
              <w:autoSpaceDN/>
              <w:adjustRightInd/>
              <w:jc w:val="center"/>
              <w:textAlignment w:val="auto"/>
              <w:rPr>
                <w:color w:val="000000"/>
              </w:rPr>
            </w:pPr>
            <w:r w:rsidRPr="0093337E">
              <w:rPr>
                <w:color w:val="000000"/>
              </w:rPr>
              <w:t> </w:t>
            </w:r>
          </w:p>
        </w:tc>
        <w:tc>
          <w:tcPr>
            <w:tcW w:w="0" w:type="auto"/>
            <w:tcBorders>
              <w:top w:val="nil"/>
              <w:left w:val="nil"/>
              <w:bottom w:val="nil"/>
              <w:right w:val="nil"/>
            </w:tcBorders>
            <w:shd w:val="clear" w:color="000000" w:fill="FFFFFF"/>
            <w:noWrap/>
            <w:vAlign w:val="bottom"/>
            <w:hideMark/>
          </w:tcPr>
          <w:p w:rsidR="0093337E" w:rsidRPr="0093337E" w:rsidRDefault="0093337E" w:rsidP="00532660">
            <w:pPr>
              <w:overflowPunct/>
              <w:autoSpaceDE/>
              <w:autoSpaceDN/>
              <w:adjustRightInd/>
              <w:ind w:right="-60"/>
              <w:jc w:val="right"/>
              <w:textAlignment w:val="auto"/>
              <w:rPr>
                <w:color w:val="000000"/>
              </w:rPr>
            </w:pPr>
            <w:r w:rsidRPr="0093337E">
              <w:rPr>
                <w:color w:val="000000"/>
              </w:rPr>
              <w:t>-0.054</w:t>
            </w:r>
          </w:p>
        </w:tc>
        <w:tc>
          <w:tcPr>
            <w:tcW w:w="0" w:type="auto"/>
            <w:tcBorders>
              <w:top w:val="nil"/>
              <w:left w:val="nil"/>
              <w:bottom w:val="nil"/>
              <w:right w:val="nil"/>
            </w:tcBorders>
            <w:shd w:val="clear" w:color="000000" w:fill="FFFFFF"/>
            <w:noWrap/>
            <w:vAlign w:val="bottom"/>
            <w:hideMark/>
          </w:tcPr>
          <w:p w:rsidR="0093337E" w:rsidRPr="0093337E" w:rsidRDefault="0093337E" w:rsidP="00532660">
            <w:pPr>
              <w:overflowPunct/>
              <w:autoSpaceDE/>
              <w:autoSpaceDN/>
              <w:adjustRightInd/>
              <w:ind w:left="-118"/>
              <w:textAlignment w:val="auto"/>
              <w:rPr>
                <w:color w:val="000000"/>
              </w:rPr>
            </w:pPr>
            <w:r w:rsidRPr="0093337E">
              <w:rPr>
                <w:color w:val="000000"/>
                <w:vertAlign w:val="superscript"/>
              </w:rPr>
              <w:t> </w:t>
            </w:r>
          </w:p>
        </w:tc>
        <w:tc>
          <w:tcPr>
            <w:tcW w:w="0" w:type="auto"/>
            <w:tcBorders>
              <w:top w:val="nil"/>
              <w:left w:val="nil"/>
              <w:bottom w:val="nil"/>
              <w:right w:val="nil"/>
            </w:tcBorders>
            <w:shd w:val="clear" w:color="000000" w:fill="FFFFFF"/>
            <w:noWrap/>
            <w:vAlign w:val="bottom"/>
            <w:hideMark/>
          </w:tcPr>
          <w:p w:rsidR="0093337E" w:rsidRPr="0093337E" w:rsidRDefault="00532660" w:rsidP="000D4BF4">
            <w:pPr>
              <w:overflowPunct/>
              <w:autoSpaceDE/>
              <w:autoSpaceDN/>
              <w:adjustRightInd/>
              <w:textAlignment w:val="auto"/>
              <w:rPr>
                <w:color w:val="000000"/>
              </w:rPr>
            </w:pPr>
            <w:r>
              <w:rPr>
                <w:color w:val="000000"/>
              </w:rPr>
              <w:t>(</w:t>
            </w:r>
            <w:r w:rsidR="0093337E" w:rsidRPr="0093337E">
              <w:rPr>
                <w:color w:val="000000"/>
              </w:rPr>
              <w:t>-0.8</w:t>
            </w:r>
            <w:r>
              <w:rPr>
                <w:color w:val="000000"/>
              </w:rPr>
              <w:t>)</w:t>
            </w:r>
          </w:p>
        </w:tc>
      </w:tr>
      <w:tr w:rsidR="0093337E" w:rsidRPr="0093337E" w:rsidTr="0093337E">
        <w:trPr>
          <w:trHeight w:val="144"/>
        </w:trPr>
        <w:tc>
          <w:tcPr>
            <w:tcW w:w="2106" w:type="dxa"/>
            <w:tcBorders>
              <w:top w:val="nil"/>
              <w:left w:val="nil"/>
              <w:bottom w:val="nil"/>
              <w:right w:val="nil"/>
            </w:tcBorders>
            <w:shd w:val="clear" w:color="000000" w:fill="FFFFFF"/>
            <w:noWrap/>
            <w:vAlign w:val="bottom"/>
            <w:hideMark/>
          </w:tcPr>
          <w:p w:rsidR="0093337E" w:rsidRPr="0093337E" w:rsidRDefault="0093337E" w:rsidP="0093337E">
            <w:pPr>
              <w:overflowPunct/>
              <w:autoSpaceDE/>
              <w:autoSpaceDN/>
              <w:adjustRightInd/>
              <w:ind w:firstLineChars="100" w:firstLine="200"/>
              <w:textAlignment w:val="auto"/>
              <w:rPr>
                <w:color w:val="000000"/>
              </w:rPr>
            </w:pPr>
            <w:r w:rsidRPr="0093337E">
              <w:rPr>
                <w:color w:val="000000"/>
              </w:rPr>
              <w:t>ΔSMB</w:t>
            </w:r>
            <w:r w:rsidRPr="0093337E">
              <w:rPr>
                <w:color w:val="000000"/>
                <w:vertAlign w:val="subscript"/>
              </w:rPr>
              <w:t>t-1</w:t>
            </w:r>
          </w:p>
        </w:tc>
        <w:tc>
          <w:tcPr>
            <w:tcW w:w="0" w:type="auto"/>
            <w:tcBorders>
              <w:top w:val="nil"/>
              <w:left w:val="nil"/>
              <w:bottom w:val="nil"/>
              <w:right w:val="nil"/>
            </w:tcBorders>
            <w:shd w:val="clear" w:color="000000" w:fill="FFFFFF"/>
            <w:noWrap/>
            <w:vAlign w:val="bottom"/>
            <w:hideMark/>
          </w:tcPr>
          <w:p w:rsidR="0093337E" w:rsidRPr="0093337E" w:rsidRDefault="0093337E" w:rsidP="0093337E">
            <w:pPr>
              <w:overflowPunct/>
              <w:autoSpaceDE/>
              <w:autoSpaceDN/>
              <w:adjustRightInd/>
              <w:jc w:val="right"/>
              <w:textAlignment w:val="auto"/>
              <w:rPr>
                <w:color w:val="000000"/>
              </w:rPr>
            </w:pPr>
            <w:r w:rsidRPr="0093337E">
              <w:rPr>
                <w:color w:val="000000"/>
              </w:rPr>
              <w:t> </w:t>
            </w:r>
          </w:p>
        </w:tc>
        <w:tc>
          <w:tcPr>
            <w:tcW w:w="0" w:type="auto"/>
            <w:tcBorders>
              <w:top w:val="nil"/>
              <w:left w:val="nil"/>
              <w:bottom w:val="nil"/>
              <w:right w:val="nil"/>
            </w:tcBorders>
            <w:shd w:val="clear" w:color="000000" w:fill="FFFFFF"/>
            <w:noWrap/>
            <w:vAlign w:val="bottom"/>
            <w:hideMark/>
          </w:tcPr>
          <w:p w:rsidR="0093337E" w:rsidRPr="0093337E" w:rsidRDefault="0093337E" w:rsidP="0093337E">
            <w:pPr>
              <w:overflowPunct/>
              <w:autoSpaceDE/>
              <w:autoSpaceDN/>
              <w:adjustRightInd/>
              <w:textAlignment w:val="auto"/>
              <w:rPr>
                <w:color w:val="000000"/>
              </w:rPr>
            </w:pPr>
            <w:r w:rsidRPr="0093337E">
              <w:rPr>
                <w:color w:val="000000"/>
                <w:vertAlign w:val="superscript"/>
              </w:rPr>
              <w:t> </w:t>
            </w:r>
          </w:p>
        </w:tc>
        <w:tc>
          <w:tcPr>
            <w:tcW w:w="0" w:type="auto"/>
            <w:tcBorders>
              <w:top w:val="nil"/>
              <w:left w:val="nil"/>
              <w:bottom w:val="nil"/>
              <w:right w:val="nil"/>
            </w:tcBorders>
            <w:shd w:val="clear" w:color="000000" w:fill="FFFFFF"/>
            <w:noWrap/>
            <w:vAlign w:val="bottom"/>
            <w:hideMark/>
          </w:tcPr>
          <w:p w:rsidR="0093337E" w:rsidRPr="0093337E" w:rsidRDefault="0093337E" w:rsidP="0093337E">
            <w:pPr>
              <w:overflowPunct/>
              <w:autoSpaceDE/>
              <w:autoSpaceDN/>
              <w:adjustRightInd/>
              <w:jc w:val="center"/>
              <w:textAlignment w:val="auto"/>
              <w:rPr>
                <w:color w:val="000000"/>
              </w:rPr>
            </w:pPr>
            <w:r w:rsidRPr="0093337E">
              <w:rPr>
                <w:color w:val="000000"/>
              </w:rPr>
              <w:t> </w:t>
            </w:r>
          </w:p>
        </w:tc>
        <w:tc>
          <w:tcPr>
            <w:tcW w:w="0" w:type="auto"/>
            <w:tcBorders>
              <w:top w:val="nil"/>
              <w:left w:val="nil"/>
              <w:bottom w:val="nil"/>
              <w:right w:val="nil"/>
            </w:tcBorders>
            <w:shd w:val="clear" w:color="000000" w:fill="FFFFFF"/>
            <w:noWrap/>
            <w:vAlign w:val="bottom"/>
            <w:hideMark/>
          </w:tcPr>
          <w:p w:rsidR="0093337E" w:rsidRPr="0093337E" w:rsidRDefault="0093337E" w:rsidP="00532660">
            <w:pPr>
              <w:overflowPunct/>
              <w:autoSpaceDE/>
              <w:autoSpaceDN/>
              <w:adjustRightInd/>
              <w:ind w:right="-60"/>
              <w:jc w:val="right"/>
              <w:textAlignment w:val="auto"/>
              <w:rPr>
                <w:color w:val="000000"/>
              </w:rPr>
            </w:pPr>
            <w:r w:rsidRPr="0093337E">
              <w:rPr>
                <w:color w:val="000000"/>
              </w:rPr>
              <w:t>-0.057</w:t>
            </w:r>
          </w:p>
        </w:tc>
        <w:tc>
          <w:tcPr>
            <w:tcW w:w="0" w:type="auto"/>
            <w:tcBorders>
              <w:top w:val="nil"/>
              <w:left w:val="nil"/>
              <w:bottom w:val="nil"/>
              <w:right w:val="nil"/>
            </w:tcBorders>
            <w:shd w:val="clear" w:color="000000" w:fill="FFFFFF"/>
            <w:noWrap/>
            <w:vAlign w:val="bottom"/>
            <w:hideMark/>
          </w:tcPr>
          <w:p w:rsidR="0093337E" w:rsidRPr="0093337E" w:rsidRDefault="0093337E" w:rsidP="00532660">
            <w:pPr>
              <w:overflowPunct/>
              <w:autoSpaceDE/>
              <w:autoSpaceDN/>
              <w:adjustRightInd/>
              <w:ind w:left="-118"/>
              <w:textAlignment w:val="auto"/>
              <w:rPr>
                <w:color w:val="000000"/>
              </w:rPr>
            </w:pPr>
            <w:r w:rsidRPr="0093337E">
              <w:rPr>
                <w:color w:val="000000"/>
                <w:vertAlign w:val="superscript"/>
              </w:rPr>
              <w:t> </w:t>
            </w:r>
          </w:p>
        </w:tc>
        <w:tc>
          <w:tcPr>
            <w:tcW w:w="0" w:type="auto"/>
            <w:tcBorders>
              <w:top w:val="nil"/>
              <w:left w:val="nil"/>
              <w:bottom w:val="nil"/>
              <w:right w:val="nil"/>
            </w:tcBorders>
            <w:shd w:val="clear" w:color="000000" w:fill="FFFFFF"/>
            <w:noWrap/>
            <w:vAlign w:val="bottom"/>
            <w:hideMark/>
          </w:tcPr>
          <w:p w:rsidR="0093337E" w:rsidRPr="0093337E" w:rsidRDefault="00532660" w:rsidP="000D4BF4">
            <w:pPr>
              <w:overflowPunct/>
              <w:autoSpaceDE/>
              <w:autoSpaceDN/>
              <w:adjustRightInd/>
              <w:textAlignment w:val="auto"/>
              <w:rPr>
                <w:color w:val="000000"/>
              </w:rPr>
            </w:pPr>
            <w:r>
              <w:rPr>
                <w:color w:val="000000"/>
              </w:rPr>
              <w:t>(</w:t>
            </w:r>
            <w:r w:rsidR="0093337E" w:rsidRPr="0093337E">
              <w:rPr>
                <w:color w:val="000000"/>
              </w:rPr>
              <w:t>0.4</w:t>
            </w:r>
            <w:r>
              <w:rPr>
                <w:color w:val="000000"/>
              </w:rPr>
              <w:t>)</w:t>
            </w:r>
          </w:p>
        </w:tc>
      </w:tr>
      <w:tr w:rsidR="0093337E" w:rsidRPr="0093337E" w:rsidTr="0093337E">
        <w:trPr>
          <w:trHeight w:val="144"/>
        </w:trPr>
        <w:tc>
          <w:tcPr>
            <w:tcW w:w="2106" w:type="dxa"/>
            <w:tcBorders>
              <w:top w:val="nil"/>
              <w:left w:val="nil"/>
              <w:bottom w:val="nil"/>
              <w:right w:val="nil"/>
            </w:tcBorders>
            <w:shd w:val="clear" w:color="000000" w:fill="FFFFFF"/>
            <w:noWrap/>
            <w:vAlign w:val="bottom"/>
            <w:hideMark/>
          </w:tcPr>
          <w:p w:rsidR="0093337E" w:rsidRPr="0093337E" w:rsidRDefault="0093337E" w:rsidP="0093337E">
            <w:pPr>
              <w:overflowPunct/>
              <w:autoSpaceDE/>
              <w:autoSpaceDN/>
              <w:adjustRightInd/>
              <w:ind w:firstLineChars="100" w:firstLine="200"/>
              <w:textAlignment w:val="auto"/>
              <w:rPr>
                <w:color w:val="000000"/>
              </w:rPr>
            </w:pPr>
            <w:r w:rsidRPr="0093337E">
              <w:rPr>
                <w:color w:val="000000"/>
              </w:rPr>
              <w:t>Δ(Baa - Aaa)</w:t>
            </w:r>
            <w:r w:rsidRPr="0093337E">
              <w:rPr>
                <w:color w:val="000000"/>
                <w:vertAlign w:val="subscript"/>
              </w:rPr>
              <w:t>t-1</w:t>
            </w:r>
          </w:p>
        </w:tc>
        <w:tc>
          <w:tcPr>
            <w:tcW w:w="0" w:type="auto"/>
            <w:tcBorders>
              <w:top w:val="nil"/>
              <w:left w:val="nil"/>
              <w:bottom w:val="nil"/>
              <w:right w:val="nil"/>
            </w:tcBorders>
            <w:shd w:val="clear" w:color="000000" w:fill="FFFFFF"/>
            <w:noWrap/>
            <w:vAlign w:val="bottom"/>
            <w:hideMark/>
          </w:tcPr>
          <w:p w:rsidR="0093337E" w:rsidRPr="0093337E" w:rsidRDefault="0093337E" w:rsidP="0093337E">
            <w:pPr>
              <w:overflowPunct/>
              <w:autoSpaceDE/>
              <w:autoSpaceDN/>
              <w:adjustRightInd/>
              <w:jc w:val="right"/>
              <w:textAlignment w:val="auto"/>
              <w:rPr>
                <w:color w:val="000000"/>
              </w:rPr>
            </w:pPr>
            <w:r w:rsidRPr="0093337E">
              <w:rPr>
                <w:color w:val="000000"/>
              </w:rPr>
              <w:t> </w:t>
            </w:r>
          </w:p>
        </w:tc>
        <w:tc>
          <w:tcPr>
            <w:tcW w:w="0" w:type="auto"/>
            <w:tcBorders>
              <w:top w:val="nil"/>
              <w:left w:val="nil"/>
              <w:bottom w:val="nil"/>
              <w:right w:val="nil"/>
            </w:tcBorders>
            <w:shd w:val="clear" w:color="000000" w:fill="FFFFFF"/>
            <w:noWrap/>
            <w:vAlign w:val="bottom"/>
            <w:hideMark/>
          </w:tcPr>
          <w:p w:rsidR="0093337E" w:rsidRPr="0093337E" w:rsidRDefault="0093337E" w:rsidP="0093337E">
            <w:pPr>
              <w:overflowPunct/>
              <w:autoSpaceDE/>
              <w:autoSpaceDN/>
              <w:adjustRightInd/>
              <w:textAlignment w:val="auto"/>
              <w:rPr>
                <w:color w:val="000000"/>
              </w:rPr>
            </w:pPr>
            <w:r w:rsidRPr="0093337E">
              <w:rPr>
                <w:color w:val="000000"/>
                <w:vertAlign w:val="superscript"/>
              </w:rPr>
              <w:t> </w:t>
            </w:r>
          </w:p>
        </w:tc>
        <w:tc>
          <w:tcPr>
            <w:tcW w:w="0" w:type="auto"/>
            <w:tcBorders>
              <w:top w:val="nil"/>
              <w:left w:val="nil"/>
              <w:bottom w:val="nil"/>
              <w:right w:val="nil"/>
            </w:tcBorders>
            <w:shd w:val="clear" w:color="000000" w:fill="FFFFFF"/>
            <w:noWrap/>
            <w:vAlign w:val="bottom"/>
            <w:hideMark/>
          </w:tcPr>
          <w:p w:rsidR="0093337E" w:rsidRPr="0093337E" w:rsidRDefault="0093337E" w:rsidP="0093337E">
            <w:pPr>
              <w:overflowPunct/>
              <w:autoSpaceDE/>
              <w:autoSpaceDN/>
              <w:adjustRightInd/>
              <w:jc w:val="center"/>
              <w:textAlignment w:val="auto"/>
              <w:rPr>
                <w:color w:val="000000"/>
              </w:rPr>
            </w:pPr>
            <w:r w:rsidRPr="0093337E">
              <w:rPr>
                <w:color w:val="000000"/>
              </w:rPr>
              <w:t> </w:t>
            </w:r>
          </w:p>
        </w:tc>
        <w:tc>
          <w:tcPr>
            <w:tcW w:w="0" w:type="auto"/>
            <w:tcBorders>
              <w:top w:val="nil"/>
              <w:left w:val="nil"/>
              <w:bottom w:val="nil"/>
              <w:right w:val="nil"/>
            </w:tcBorders>
            <w:shd w:val="clear" w:color="000000" w:fill="FFFFFF"/>
            <w:noWrap/>
            <w:vAlign w:val="bottom"/>
            <w:hideMark/>
          </w:tcPr>
          <w:p w:rsidR="0093337E" w:rsidRPr="0093337E" w:rsidRDefault="0093337E" w:rsidP="00532660">
            <w:pPr>
              <w:overflowPunct/>
              <w:autoSpaceDE/>
              <w:autoSpaceDN/>
              <w:adjustRightInd/>
              <w:ind w:right="-60"/>
              <w:jc w:val="right"/>
              <w:textAlignment w:val="auto"/>
              <w:rPr>
                <w:color w:val="000000"/>
              </w:rPr>
            </w:pPr>
            <w:r w:rsidRPr="0093337E">
              <w:rPr>
                <w:color w:val="000000"/>
              </w:rPr>
              <w:t>-0.109</w:t>
            </w:r>
          </w:p>
        </w:tc>
        <w:tc>
          <w:tcPr>
            <w:tcW w:w="0" w:type="auto"/>
            <w:tcBorders>
              <w:top w:val="nil"/>
              <w:left w:val="nil"/>
              <w:bottom w:val="nil"/>
              <w:right w:val="nil"/>
            </w:tcBorders>
            <w:shd w:val="clear" w:color="000000" w:fill="FFFFFF"/>
            <w:noWrap/>
            <w:vAlign w:val="bottom"/>
            <w:hideMark/>
          </w:tcPr>
          <w:p w:rsidR="0093337E" w:rsidRPr="0093337E" w:rsidRDefault="0093337E" w:rsidP="00532660">
            <w:pPr>
              <w:overflowPunct/>
              <w:autoSpaceDE/>
              <w:autoSpaceDN/>
              <w:adjustRightInd/>
              <w:ind w:left="-118"/>
              <w:textAlignment w:val="auto"/>
              <w:rPr>
                <w:color w:val="000000"/>
              </w:rPr>
            </w:pPr>
            <w:r w:rsidRPr="0093337E">
              <w:rPr>
                <w:color w:val="000000"/>
                <w:vertAlign w:val="superscript"/>
              </w:rPr>
              <w:t> </w:t>
            </w:r>
          </w:p>
        </w:tc>
        <w:tc>
          <w:tcPr>
            <w:tcW w:w="0" w:type="auto"/>
            <w:tcBorders>
              <w:top w:val="nil"/>
              <w:left w:val="nil"/>
              <w:bottom w:val="nil"/>
              <w:right w:val="nil"/>
            </w:tcBorders>
            <w:shd w:val="clear" w:color="000000" w:fill="FFFFFF"/>
            <w:noWrap/>
            <w:vAlign w:val="bottom"/>
            <w:hideMark/>
          </w:tcPr>
          <w:p w:rsidR="0093337E" w:rsidRPr="0093337E" w:rsidRDefault="00532660" w:rsidP="000D4BF4">
            <w:pPr>
              <w:overflowPunct/>
              <w:autoSpaceDE/>
              <w:autoSpaceDN/>
              <w:adjustRightInd/>
              <w:textAlignment w:val="auto"/>
              <w:rPr>
                <w:color w:val="000000"/>
              </w:rPr>
            </w:pPr>
            <w:r>
              <w:rPr>
                <w:color w:val="000000"/>
              </w:rPr>
              <w:t>(</w:t>
            </w:r>
            <w:r w:rsidR="0093337E" w:rsidRPr="0093337E">
              <w:rPr>
                <w:color w:val="000000"/>
              </w:rPr>
              <w:t>-0.5</w:t>
            </w:r>
            <w:r>
              <w:rPr>
                <w:color w:val="000000"/>
              </w:rPr>
              <w:t>)</w:t>
            </w:r>
          </w:p>
        </w:tc>
      </w:tr>
      <w:tr w:rsidR="0093337E" w:rsidRPr="0093337E" w:rsidTr="0093337E">
        <w:trPr>
          <w:trHeight w:val="144"/>
        </w:trPr>
        <w:tc>
          <w:tcPr>
            <w:tcW w:w="2106" w:type="dxa"/>
            <w:tcBorders>
              <w:top w:val="nil"/>
              <w:left w:val="nil"/>
              <w:bottom w:val="single" w:sz="4" w:space="0" w:color="auto"/>
              <w:right w:val="nil"/>
            </w:tcBorders>
            <w:shd w:val="clear" w:color="000000" w:fill="FFFFFF"/>
            <w:noWrap/>
            <w:vAlign w:val="bottom"/>
            <w:hideMark/>
          </w:tcPr>
          <w:p w:rsidR="0093337E" w:rsidRPr="0093337E" w:rsidRDefault="0093337E" w:rsidP="000E19B9">
            <w:pPr>
              <w:overflowPunct/>
              <w:autoSpaceDE/>
              <w:autoSpaceDN/>
              <w:adjustRightInd/>
              <w:spacing w:after="80"/>
              <w:ind w:firstLineChars="100" w:firstLine="200"/>
              <w:textAlignment w:val="auto"/>
              <w:rPr>
                <w:color w:val="000000"/>
              </w:rPr>
            </w:pPr>
            <w:r w:rsidRPr="0093337E">
              <w:rPr>
                <w:color w:val="000000"/>
              </w:rPr>
              <w:t>Δ(10yr - 1yr)</w:t>
            </w:r>
            <w:r w:rsidRPr="0093337E">
              <w:rPr>
                <w:color w:val="000000"/>
                <w:vertAlign w:val="subscript"/>
              </w:rPr>
              <w:t>t-1</w:t>
            </w:r>
          </w:p>
        </w:tc>
        <w:tc>
          <w:tcPr>
            <w:tcW w:w="0" w:type="auto"/>
            <w:tcBorders>
              <w:top w:val="nil"/>
              <w:left w:val="nil"/>
              <w:bottom w:val="single" w:sz="4" w:space="0" w:color="auto"/>
              <w:right w:val="nil"/>
            </w:tcBorders>
            <w:shd w:val="clear" w:color="000000" w:fill="FFFFFF"/>
            <w:noWrap/>
            <w:vAlign w:val="bottom"/>
            <w:hideMark/>
          </w:tcPr>
          <w:p w:rsidR="0093337E" w:rsidRPr="0093337E" w:rsidRDefault="0093337E" w:rsidP="000E19B9">
            <w:pPr>
              <w:overflowPunct/>
              <w:autoSpaceDE/>
              <w:autoSpaceDN/>
              <w:adjustRightInd/>
              <w:spacing w:after="80"/>
              <w:jc w:val="right"/>
              <w:textAlignment w:val="auto"/>
              <w:rPr>
                <w:color w:val="000000"/>
              </w:rPr>
            </w:pPr>
            <w:r w:rsidRPr="0093337E">
              <w:rPr>
                <w:color w:val="000000"/>
              </w:rPr>
              <w:t> </w:t>
            </w:r>
          </w:p>
        </w:tc>
        <w:tc>
          <w:tcPr>
            <w:tcW w:w="0" w:type="auto"/>
            <w:tcBorders>
              <w:top w:val="nil"/>
              <w:left w:val="nil"/>
              <w:bottom w:val="single" w:sz="4" w:space="0" w:color="auto"/>
              <w:right w:val="nil"/>
            </w:tcBorders>
            <w:shd w:val="clear" w:color="000000" w:fill="FFFFFF"/>
            <w:noWrap/>
            <w:vAlign w:val="bottom"/>
            <w:hideMark/>
          </w:tcPr>
          <w:p w:rsidR="0093337E" w:rsidRPr="0093337E" w:rsidRDefault="0093337E" w:rsidP="000E19B9">
            <w:pPr>
              <w:overflowPunct/>
              <w:autoSpaceDE/>
              <w:autoSpaceDN/>
              <w:adjustRightInd/>
              <w:spacing w:after="80"/>
              <w:textAlignment w:val="auto"/>
              <w:rPr>
                <w:color w:val="000000"/>
              </w:rPr>
            </w:pPr>
            <w:r w:rsidRPr="0093337E">
              <w:rPr>
                <w:color w:val="000000"/>
                <w:vertAlign w:val="superscript"/>
              </w:rPr>
              <w:t> </w:t>
            </w:r>
          </w:p>
        </w:tc>
        <w:tc>
          <w:tcPr>
            <w:tcW w:w="0" w:type="auto"/>
            <w:tcBorders>
              <w:top w:val="nil"/>
              <w:left w:val="nil"/>
              <w:bottom w:val="single" w:sz="4" w:space="0" w:color="auto"/>
              <w:right w:val="nil"/>
            </w:tcBorders>
            <w:shd w:val="clear" w:color="000000" w:fill="FFFFFF"/>
            <w:noWrap/>
            <w:vAlign w:val="bottom"/>
            <w:hideMark/>
          </w:tcPr>
          <w:p w:rsidR="0093337E" w:rsidRPr="0093337E" w:rsidRDefault="0093337E" w:rsidP="000E19B9">
            <w:pPr>
              <w:overflowPunct/>
              <w:autoSpaceDE/>
              <w:autoSpaceDN/>
              <w:adjustRightInd/>
              <w:spacing w:after="80"/>
              <w:jc w:val="center"/>
              <w:textAlignment w:val="auto"/>
              <w:rPr>
                <w:color w:val="000000"/>
              </w:rPr>
            </w:pPr>
            <w:r w:rsidRPr="0093337E">
              <w:rPr>
                <w:color w:val="000000"/>
              </w:rPr>
              <w:t> </w:t>
            </w:r>
          </w:p>
        </w:tc>
        <w:tc>
          <w:tcPr>
            <w:tcW w:w="0" w:type="auto"/>
            <w:tcBorders>
              <w:top w:val="nil"/>
              <w:left w:val="nil"/>
              <w:bottom w:val="single" w:sz="4" w:space="0" w:color="auto"/>
              <w:right w:val="nil"/>
            </w:tcBorders>
            <w:shd w:val="clear" w:color="000000" w:fill="FFFFFF"/>
            <w:noWrap/>
            <w:vAlign w:val="bottom"/>
            <w:hideMark/>
          </w:tcPr>
          <w:p w:rsidR="0093337E" w:rsidRPr="0093337E" w:rsidRDefault="0093337E" w:rsidP="00532660">
            <w:pPr>
              <w:overflowPunct/>
              <w:autoSpaceDE/>
              <w:autoSpaceDN/>
              <w:adjustRightInd/>
              <w:spacing w:after="80"/>
              <w:ind w:right="-60"/>
              <w:jc w:val="right"/>
              <w:textAlignment w:val="auto"/>
              <w:rPr>
                <w:color w:val="000000"/>
              </w:rPr>
            </w:pPr>
            <w:r w:rsidRPr="0093337E">
              <w:rPr>
                <w:color w:val="000000"/>
              </w:rPr>
              <w:t>0.044</w:t>
            </w:r>
          </w:p>
        </w:tc>
        <w:tc>
          <w:tcPr>
            <w:tcW w:w="0" w:type="auto"/>
            <w:tcBorders>
              <w:top w:val="nil"/>
              <w:left w:val="nil"/>
              <w:bottom w:val="single" w:sz="4" w:space="0" w:color="auto"/>
              <w:right w:val="nil"/>
            </w:tcBorders>
            <w:shd w:val="clear" w:color="000000" w:fill="FFFFFF"/>
            <w:noWrap/>
            <w:vAlign w:val="bottom"/>
            <w:hideMark/>
          </w:tcPr>
          <w:p w:rsidR="0093337E" w:rsidRPr="0093337E" w:rsidRDefault="0093337E" w:rsidP="00532660">
            <w:pPr>
              <w:overflowPunct/>
              <w:autoSpaceDE/>
              <w:autoSpaceDN/>
              <w:adjustRightInd/>
              <w:spacing w:after="80"/>
              <w:ind w:left="-118"/>
              <w:textAlignment w:val="auto"/>
              <w:rPr>
                <w:color w:val="000000"/>
              </w:rPr>
            </w:pPr>
            <w:r w:rsidRPr="0093337E">
              <w:rPr>
                <w:color w:val="000000"/>
                <w:vertAlign w:val="superscript"/>
              </w:rPr>
              <w:t> </w:t>
            </w:r>
          </w:p>
        </w:tc>
        <w:tc>
          <w:tcPr>
            <w:tcW w:w="0" w:type="auto"/>
            <w:tcBorders>
              <w:top w:val="nil"/>
              <w:left w:val="nil"/>
              <w:bottom w:val="single" w:sz="4" w:space="0" w:color="auto"/>
              <w:right w:val="nil"/>
            </w:tcBorders>
            <w:shd w:val="clear" w:color="000000" w:fill="FFFFFF"/>
            <w:noWrap/>
            <w:vAlign w:val="bottom"/>
            <w:hideMark/>
          </w:tcPr>
          <w:p w:rsidR="0093337E" w:rsidRPr="0093337E" w:rsidRDefault="00532660" w:rsidP="000D4BF4">
            <w:pPr>
              <w:overflowPunct/>
              <w:autoSpaceDE/>
              <w:autoSpaceDN/>
              <w:adjustRightInd/>
              <w:spacing w:after="80"/>
              <w:textAlignment w:val="auto"/>
              <w:rPr>
                <w:color w:val="000000"/>
              </w:rPr>
            </w:pPr>
            <w:r>
              <w:rPr>
                <w:color w:val="000000"/>
              </w:rPr>
              <w:t>(</w:t>
            </w:r>
            <w:r w:rsidR="0093337E" w:rsidRPr="0093337E">
              <w:rPr>
                <w:color w:val="000000"/>
              </w:rPr>
              <w:t>-0.5</w:t>
            </w:r>
            <w:r>
              <w:rPr>
                <w:color w:val="000000"/>
              </w:rPr>
              <w:t>)</w:t>
            </w:r>
          </w:p>
        </w:tc>
      </w:tr>
      <w:tr w:rsidR="0093337E" w:rsidRPr="0093337E" w:rsidTr="000E19B9">
        <w:trPr>
          <w:trHeight w:val="144"/>
        </w:trPr>
        <w:tc>
          <w:tcPr>
            <w:tcW w:w="2106" w:type="dxa"/>
            <w:tcBorders>
              <w:top w:val="nil"/>
              <w:left w:val="nil"/>
              <w:right w:val="nil"/>
            </w:tcBorders>
            <w:shd w:val="clear" w:color="000000" w:fill="FFFFFF"/>
            <w:noWrap/>
            <w:vAlign w:val="bottom"/>
            <w:hideMark/>
          </w:tcPr>
          <w:p w:rsidR="0093337E" w:rsidRPr="0093337E" w:rsidRDefault="0093337E" w:rsidP="000E19B9">
            <w:pPr>
              <w:overflowPunct/>
              <w:autoSpaceDE/>
              <w:autoSpaceDN/>
              <w:adjustRightInd/>
              <w:spacing w:before="80"/>
              <w:textAlignment w:val="auto"/>
              <w:rPr>
                <w:color w:val="000000"/>
              </w:rPr>
            </w:pPr>
            <w:r w:rsidRPr="0093337E">
              <w:rPr>
                <w:color w:val="000000"/>
              </w:rPr>
              <w:t>Adjusted R</w:t>
            </w:r>
            <w:r w:rsidRPr="0093337E">
              <w:rPr>
                <w:color w:val="000000"/>
                <w:vertAlign w:val="superscript"/>
              </w:rPr>
              <w:t>2</w:t>
            </w:r>
            <w:r w:rsidR="001F61F1" w:rsidRPr="001F61F1">
              <w:rPr>
                <w:color w:val="000000"/>
              </w:rPr>
              <w:t>:</w:t>
            </w:r>
          </w:p>
        </w:tc>
        <w:tc>
          <w:tcPr>
            <w:tcW w:w="0" w:type="auto"/>
            <w:gridSpan w:val="3"/>
            <w:tcBorders>
              <w:top w:val="nil"/>
              <w:left w:val="nil"/>
              <w:right w:val="nil"/>
            </w:tcBorders>
            <w:shd w:val="clear" w:color="000000" w:fill="FFFFFF"/>
            <w:noWrap/>
            <w:vAlign w:val="bottom"/>
            <w:hideMark/>
          </w:tcPr>
          <w:p w:rsidR="0093337E" w:rsidRPr="0093337E" w:rsidRDefault="0093337E" w:rsidP="000E19B9">
            <w:pPr>
              <w:overflowPunct/>
              <w:autoSpaceDE/>
              <w:autoSpaceDN/>
              <w:adjustRightInd/>
              <w:spacing w:before="80"/>
              <w:jc w:val="center"/>
              <w:textAlignment w:val="auto"/>
              <w:rPr>
                <w:color w:val="000000"/>
              </w:rPr>
            </w:pPr>
            <w:r w:rsidRPr="0093337E">
              <w:rPr>
                <w:color w:val="000000"/>
              </w:rPr>
              <w:t>23.4%</w:t>
            </w:r>
          </w:p>
        </w:tc>
        <w:tc>
          <w:tcPr>
            <w:tcW w:w="0" w:type="auto"/>
            <w:gridSpan w:val="3"/>
            <w:tcBorders>
              <w:top w:val="nil"/>
              <w:left w:val="nil"/>
              <w:right w:val="nil"/>
            </w:tcBorders>
            <w:shd w:val="clear" w:color="000000" w:fill="FFFFFF"/>
            <w:noWrap/>
            <w:vAlign w:val="bottom"/>
            <w:hideMark/>
          </w:tcPr>
          <w:p w:rsidR="0093337E" w:rsidRPr="0093337E" w:rsidRDefault="0093337E" w:rsidP="000E19B9">
            <w:pPr>
              <w:overflowPunct/>
              <w:autoSpaceDE/>
              <w:autoSpaceDN/>
              <w:adjustRightInd/>
              <w:spacing w:before="80"/>
              <w:jc w:val="center"/>
              <w:textAlignment w:val="auto"/>
              <w:rPr>
                <w:color w:val="000000"/>
              </w:rPr>
            </w:pPr>
            <w:r w:rsidRPr="0093337E">
              <w:rPr>
                <w:color w:val="000000"/>
              </w:rPr>
              <w:t>20.9%</w:t>
            </w:r>
          </w:p>
        </w:tc>
      </w:tr>
      <w:tr w:rsidR="0093337E" w:rsidRPr="0093337E" w:rsidTr="000E19B9">
        <w:trPr>
          <w:trHeight w:val="144"/>
        </w:trPr>
        <w:tc>
          <w:tcPr>
            <w:tcW w:w="2106" w:type="dxa"/>
            <w:tcBorders>
              <w:top w:val="nil"/>
              <w:left w:val="nil"/>
              <w:bottom w:val="single" w:sz="12" w:space="0" w:color="auto"/>
              <w:right w:val="nil"/>
            </w:tcBorders>
            <w:shd w:val="clear" w:color="000000" w:fill="FFFFFF"/>
            <w:noWrap/>
            <w:vAlign w:val="bottom"/>
            <w:hideMark/>
          </w:tcPr>
          <w:p w:rsidR="0093337E" w:rsidRPr="0093337E" w:rsidRDefault="0093337E" w:rsidP="000E19B9">
            <w:pPr>
              <w:overflowPunct/>
              <w:autoSpaceDE/>
              <w:autoSpaceDN/>
              <w:adjustRightInd/>
              <w:spacing w:after="80"/>
              <w:textAlignment w:val="auto"/>
              <w:rPr>
                <w:color w:val="000000"/>
              </w:rPr>
            </w:pPr>
            <w:r w:rsidRPr="0093337E">
              <w:rPr>
                <w:color w:val="000000"/>
              </w:rPr>
              <w:t>Observations</w:t>
            </w:r>
            <w:r w:rsidR="001F61F1">
              <w:rPr>
                <w:color w:val="000000"/>
              </w:rPr>
              <w:t>:</w:t>
            </w:r>
          </w:p>
        </w:tc>
        <w:tc>
          <w:tcPr>
            <w:tcW w:w="0" w:type="auto"/>
            <w:gridSpan w:val="3"/>
            <w:tcBorders>
              <w:top w:val="nil"/>
              <w:left w:val="nil"/>
              <w:bottom w:val="single" w:sz="12" w:space="0" w:color="auto"/>
              <w:right w:val="nil"/>
            </w:tcBorders>
            <w:shd w:val="clear" w:color="000000" w:fill="FFFFFF"/>
            <w:noWrap/>
            <w:vAlign w:val="bottom"/>
            <w:hideMark/>
          </w:tcPr>
          <w:p w:rsidR="0093337E" w:rsidRPr="0093337E" w:rsidRDefault="0093337E" w:rsidP="000E19B9">
            <w:pPr>
              <w:overflowPunct/>
              <w:autoSpaceDE/>
              <w:autoSpaceDN/>
              <w:adjustRightInd/>
              <w:spacing w:after="80"/>
              <w:jc w:val="center"/>
              <w:textAlignment w:val="auto"/>
              <w:rPr>
                <w:color w:val="000000"/>
              </w:rPr>
            </w:pPr>
            <w:r w:rsidRPr="0093337E">
              <w:rPr>
                <w:color w:val="000000"/>
              </w:rPr>
              <w:t>94</w:t>
            </w:r>
          </w:p>
        </w:tc>
        <w:tc>
          <w:tcPr>
            <w:tcW w:w="0" w:type="auto"/>
            <w:gridSpan w:val="3"/>
            <w:tcBorders>
              <w:top w:val="nil"/>
              <w:left w:val="nil"/>
              <w:bottom w:val="single" w:sz="12" w:space="0" w:color="auto"/>
              <w:right w:val="nil"/>
            </w:tcBorders>
            <w:shd w:val="clear" w:color="000000" w:fill="FFFFFF"/>
            <w:noWrap/>
            <w:vAlign w:val="bottom"/>
            <w:hideMark/>
          </w:tcPr>
          <w:p w:rsidR="0093337E" w:rsidRPr="0093337E" w:rsidRDefault="0093337E" w:rsidP="000E19B9">
            <w:pPr>
              <w:overflowPunct/>
              <w:autoSpaceDE/>
              <w:autoSpaceDN/>
              <w:adjustRightInd/>
              <w:spacing w:after="80"/>
              <w:jc w:val="center"/>
              <w:textAlignment w:val="auto"/>
              <w:rPr>
                <w:color w:val="000000"/>
              </w:rPr>
            </w:pPr>
            <w:r w:rsidRPr="0093337E">
              <w:rPr>
                <w:color w:val="000000"/>
              </w:rPr>
              <w:t>94</w:t>
            </w:r>
          </w:p>
        </w:tc>
      </w:tr>
    </w:tbl>
    <w:p w:rsidR="001B687A" w:rsidRDefault="000769A4" w:rsidP="009F7607">
      <w:pPr>
        <w:overflowPunct/>
        <w:autoSpaceDE/>
        <w:autoSpaceDN/>
        <w:adjustRightInd/>
        <w:spacing w:before="120" w:line="216" w:lineRule="auto"/>
        <w:ind w:right="2790"/>
        <w:jc w:val="both"/>
        <w:textAlignment w:val="auto"/>
      </w:pPr>
      <w:r w:rsidRPr="001B687A">
        <w:rPr>
          <w:i/>
        </w:rPr>
        <w:t>Notes:</w:t>
      </w:r>
      <w:r w:rsidRPr="001B687A">
        <w:t xml:space="preserve"> This table presents </w:t>
      </w:r>
      <w:r w:rsidR="001B687A">
        <w:t xml:space="preserve">results from two versions of the vector error correction model (VECM). In the first specification, </w:t>
      </w:r>
      <w:r w:rsidR="00157EC7">
        <w:t xml:space="preserve">only </w:t>
      </w:r>
      <w:r w:rsidR="001B687A">
        <w:t>endogenous</w:t>
      </w:r>
      <w:r w:rsidR="00157EC7">
        <w:t xml:space="preserve"> variables are included</w:t>
      </w:r>
      <w:r w:rsidR="001B687A">
        <w:t xml:space="preserve">. In the second set of results (displayed in far-right columns), a set of exogenous controls is </w:t>
      </w:r>
      <w:r w:rsidR="00157EC7">
        <w:t xml:space="preserve">added </w:t>
      </w:r>
      <w:r w:rsidR="001B687A">
        <w:t>for Baa rates, the Fama</w:t>
      </w:r>
      <w:r w:rsidR="004527B3">
        <w:t>-</w:t>
      </w:r>
      <w:r w:rsidR="001B687A">
        <w:t xml:space="preserve">French factors, the credit spread, and the yield curve. Results for the estimated long-run cointegrating relationship are presented in the top rows, under (a), followed by the short-run dynamic relationship including the Error Correction term, under (b). </w:t>
      </w:r>
      <w:r w:rsidR="007D383E">
        <w:t xml:space="preserve">First-differenced variables are denoted by Δ. </w:t>
      </w:r>
      <w:r w:rsidR="001B687A">
        <w:t xml:space="preserve">The table displays the parameter estimates (Coefficient), along with the corresponding t-statistic in parentheses. </w:t>
      </w:r>
      <w:r w:rsidR="001663A8">
        <w:t xml:space="preserve">All variables are defined in the notes to Table 1. </w:t>
      </w:r>
      <w:r w:rsidR="001B687A" w:rsidRPr="001B687A">
        <w:rPr>
          <w:vertAlign w:val="superscript"/>
        </w:rPr>
        <w:t>***</w:t>
      </w:r>
      <w:r w:rsidR="001B687A">
        <w:t xml:space="preserve">, </w:t>
      </w:r>
      <w:r w:rsidR="001B687A" w:rsidRPr="001B687A">
        <w:rPr>
          <w:vertAlign w:val="superscript"/>
        </w:rPr>
        <w:t>**</w:t>
      </w:r>
      <w:r w:rsidR="001B687A">
        <w:t xml:space="preserve">, and </w:t>
      </w:r>
      <w:r w:rsidR="001B687A" w:rsidRPr="001B687A">
        <w:rPr>
          <w:vertAlign w:val="superscript"/>
        </w:rPr>
        <w:t>*</w:t>
      </w:r>
      <w:r w:rsidR="001B687A">
        <w:t xml:space="preserve"> indicate statistically significant coefficients at the 1%, 5%, and 10% levels respectively. </w:t>
      </w:r>
    </w:p>
    <w:p w:rsidR="00544587" w:rsidRDefault="00544587">
      <w:pPr>
        <w:overflowPunct/>
        <w:autoSpaceDE/>
        <w:autoSpaceDN/>
        <w:adjustRightInd/>
        <w:spacing w:after="200" w:line="276" w:lineRule="auto"/>
        <w:textAlignment w:val="auto"/>
        <w:rPr>
          <w:sz w:val="22"/>
          <w:szCs w:val="22"/>
        </w:rPr>
      </w:pPr>
    </w:p>
    <w:p w:rsidR="00544587" w:rsidRDefault="00544587">
      <w:pPr>
        <w:overflowPunct/>
        <w:autoSpaceDE/>
        <w:autoSpaceDN/>
        <w:adjustRightInd/>
        <w:spacing w:after="200" w:line="276" w:lineRule="auto"/>
        <w:textAlignment w:val="auto"/>
        <w:rPr>
          <w:sz w:val="22"/>
          <w:szCs w:val="22"/>
        </w:rPr>
      </w:pPr>
    </w:p>
    <w:p w:rsidR="00544587" w:rsidRDefault="00544587">
      <w:pPr>
        <w:overflowPunct/>
        <w:autoSpaceDE/>
        <w:autoSpaceDN/>
        <w:adjustRightInd/>
        <w:spacing w:after="200" w:line="276" w:lineRule="auto"/>
        <w:textAlignment w:val="auto"/>
        <w:rPr>
          <w:b/>
          <w:sz w:val="22"/>
          <w:szCs w:val="22"/>
        </w:rPr>
      </w:pPr>
      <w:r>
        <w:rPr>
          <w:b/>
          <w:sz w:val="22"/>
          <w:szCs w:val="22"/>
        </w:rPr>
        <w:br w:type="page"/>
      </w:r>
    </w:p>
    <w:p w:rsidR="00544587" w:rsidRDefault="00544587" w:rsidP="00544587">
      <w:pPr>
        <w:overflowPunct/>
        <w:autoSpaceDE/>
        <w:autoSpaceDN/>
        <w:adjustRightInd/>
        <w:spacing w:after="200" w:line="276" w:lineRule="auto"/>
        <w:textAlignment w:val="auto"/>
        <w:rPr>
          <w:sz w:val="22"/>
          <w:szCs w:val="22"/>
        </w:rPr>
      </w:pPr>
      <w:r>
        <w:rPr>
          <w:b/>
          <w:sz w:val="22"/>
          <w:szCs w:val="22"/>
        </w:rPr>
        <w:t xml:space="preserve">Table 4.  </w:t>
      </w:r>
      <w:r w:rsidR="00A17102">
        <w:rPr>
          <w:sz w:val="22"/>
          <w:szCs w:val="22"/>
        </w:rPr>
        <w:t>Vector autoregressive</w:t>
      </w:r>
      <w:r>
        <w:rPr>
          <w:sz w:val="22"/>
          <w:szCs w:val="22"/>
        </w:rPr>
        <w:t xml:space="preserve"> </w:t>
      </w:r>
      <w:r w:rsidR="00ED183A">
        <w:rPr>
          <w:sz w:val="22"/>
          <w:szCs w:val="22"/>
        </w:rPr>
        <w:t>m</w:t>
      </w:r>
      <w:r>
        <w:rPr>
          <w:sz w:val="22"/>
          <w:szCs w:val="22"/>
        </w:rPr>
        <w:t>odel</w:t>
      </w:r>
      <w:r w:rsidR="00A17102">
        <w:rPr>
          <w:sz w:val="22"/>
          <w:szCs w:val="22"/>
        </w:rPr>
        <w:t>: Four endogenous variables (VAR:4)</w:t>
      </w:r>
    </w:p>
    <w:tbl>
      <w:tblPr>
        <w:tblW w:w="9002" w:type="dxa"/>
        <w:tblInd w:w="93" w:type="dxa"/>
        <w:tblLook w:val="04A0"/>
      </w:tblPr>
      <w:tblGrid>
        <w:gridCol w:w="1729"/>
        <w:gridCol w:w="662"/>
        <w:gridCol w:w="311"/>
        <w:gridCol w:w="773"/>
        <w:gridCol w:w="653"/>
        <w:gridCol w:w="337"/>
        <w:gridCol w:w="936"/>
        <w:gridCol w:w="701"/>
        <w:gridCol w:w="382"/>
        <w:gridCol w:w="773"/>
        <w:gridCol w:w="705"/>
        <w:gridCol w:w="327"/>
        <w:gridCol w:w="773"/>
      </w:tblGrid>
      <w:tr w:rsidR="00544587" w:rsidRPr="00544587" w:rsidTr="00157EC7">
        <w:trPr>
          <w:trHeight w:val="20"/>
        </w:trPr>
        <w:tc>
          <w:tcPr>
            <w:tcW w:w="9002" w:type="dxa"/>
            <w:gridSpan w:val="13"/>
            <w:tcBorders>
              <w:top w:val="single" w:sz="12" w:space="0" w:color="auto"/>
              <w:left w:val="nil"/>
              <w:bottom w:val="nil"/>
              <w:right w:val="nil"/>
            </w:tcBorders>
            <w:shd w:val="clear" w:color="auto" w:fill="auto"/>
            <w:noWrap/>
            <w:vAlign w:val="bottom"/>
            <w:hideMark/>
          </w:tcPr>
          <w:p w:rsidR="00544587" w:rsidRPr="00544587" w:rsidRDefault="00544587" w:rsidP="001F61F1">
            <w:pPr>
              <w:overflowPunct/>
              <w:autoSpaceDE/>
              <w:autoSpaceDN/>
              <w:adjustRightInd/>
              <w:spacing w:before="80"/>
              <w:textAlignment w:val="auto"/>
              <w:rPr>
                <w:color w:val="000000"/>
              </w:rPr>
            </w:pPr>
            <w:r w:rsidRPr="00544587">
              <w:rPr>
                <w:b/>
                <w:bCs/>
                <w:color w:val="000000"/>
              </w:rPr>
              <w:t xml:space="preserve">Panel A.  </w:t>
            </w:r>
            <w:r w:rsidRPr="00544587">
              <w:rPr>
                <w:color w:val="000000"/>
              </w:rPr>
              <w:t xml:space="preserve">Four endogenous </w:t>
            </w:r>
            <w:r w:rsidR="00BE78A5">
              <w:rPr>
                <w:color w:val="000000"/>
              </w:rPr>
              <w:t>only</w:t>
            </w:r>
          </w:p>
        </w:tc>
      </w:tr>
      <w:tr w:rsidR="00544587" w:rsidRPr="00544587" w:rsidTr="00157EC7">
        <w:trPr>
          <w:trHeight w:val="20"/>
        </w:trPr>
        <w:tc>
          <w:tcPr>
            <w:tcW w:w="0" w:type="auto"/>
            <w:tcBorders>
              <w:top w:val="nil"/>
              <w:left w:val="nil"/>
              <w:bottom w:val="nil"/>
              <w:right w:val="nil"/>
            </w:tcBorders>
            <w:shd w:val="clear" w:color="auto" w:fill="auto"/>
            <w:noWrap/>
            <w:vAlign w:val="bottom"/>
            <w:hideMark/>
          </w:tcPr>
          <w:p w:rsidR="00544587" w:rsidRPr="00F85A66" w:rsidRDefault="00F85A66" w:rsidP="00544587">
            <w:pPr>
              <w:overflowPunct/>
              <w:autoSpaceDE/>
              <w:autoSpaceDN/>
              <w:adjustRightInd/>
              <w:jc w:val="right"/>
              <w:textAlignment w:val="auto"/>
              <w:rPr>
                <w:i/>
                <w:color w:val="000000"/>
              </w:rPr>
            </w:pPr>
            <w:r w:rsidRPr="00F85A66">
              <w:rPr>
                <w:i/>
                <w:color w:val="000000"/>
              </w:rPr>
              <w:t>Dependent</w:t>
            </w:r>
            <w:r w:rsidR="00544587" w:rsidRPr="00F85A66">
              <w:rPr>
                <w:i/>
                <w:color w:val="000000"/>
              </w:rPr>
              <w:t>:</w:t>
            </w:r>
          </w:p>
        </w:tc>
        <w:tc>
          <w:tcPr>
            <w:tcW w:w="0" w:type="auto"/>
            <w:gridSpan w:val="3"/>
            <w:tcBorders>
              <w:top w:val="nil"/>
              <w:left w:val="nil"/>
              <w:bottom w:val="nil"/>
              <w:right w:val="nil"/>
            </w:tcBorders>
            <w:shd w:val="clear" w:color="auto" w:fill="auto"/>
            <w:noWrap/>
            <w:vAlign w:val="bottom"/>
            <w:hideMark/>
          </w:tcPr>
          <w:p w:rsidR="00544587" w:rsidRPr="00544587" w:rsidRDefault="00544587" w:rsidP="008E082E">
            <w:pPr>
              <w:overflowPunct/>
              <w:autoSpaceDE/>
              <w:autoSpaceDN/>
              <w:adjustRightInd/>
              <w:jc w:val="center"/>
              <w:textAlignment w:val="auto"/>
              <w:rPr>
                <w:i/>
                <w:iCs/>
                <w:color w:val="000000"/>
              </w:rPr>
            </w:pPr>
            <w:r w:rsidRPr="00544587">
              <w:rPr>
                <w:i/>
                <w:iCs/>
                <w:color w:val="000000"/>
              </w:rPr>
              <w:t xml:space="preserve">Income </w:t>
            </w:r>
            <w:r w:rsidR="008E082E">
              <w:rPr>
                <w:i/>
                <w:iCs/>
                <w:color w:val="000000"/>
              </w:rPr>
              <w:t>R</w:t>
            </w:r>
            <w:r w:rsidRPr="00544587">
              <w:rPr>
                <w:i/>
                <w:iCs/>
                <w:color w:val="000000"/>
              </w:rPr>
              <w:t>eturn</w:t>
            </w:r>
            <w:r w:rsidR="008E082E">
              <w:rPr>
                <w:i/>
                <w:iCs/>
                <w:color w:val="000000"/>
              </w:rPr>
              <w:t>s</w:t>
            </w:r>
            <w:r w:rsidR="00F85A66" w:rsidRPr="00F85A66">
              <w:rPr>
                <w:i/>
                <w:iCs/>
                <w:color w:val="000000"/>
                <w:vertAlign w:val="subscript"/>
              </w:rPr>
              <w:t>t</w:t>
            </w:r>
          </w:p>
        </w:tc>
        <w:tc>
          <w:tcPr>
            <w:tcW w:w="1926" w:type="dxa"/>
            <w:gridSpan w:val="3"/>
            <w:tcBorders>
              <w:top w:val="nil"/>
              <w:left w:val="nil"/>
              <w:bottom w:val="nil"/>
              <w:right w:val="nil"/>
            </w:tcBorders>
            <w:shd w:val="clear" w:color="auto" w:fill="auto"/>
            <w:noWrap/>
            <w:vAlign w:val="bottom"/>
            <w:hideMark/>
          </w:tcPr>
          <w:p w:rsidR="00544587" w:rsidRPr="00544587" w:rsidRDefault="00544587" w:rsidP="008E082E">
            <w:pPr>
              <w:overflowPunct/>
              <w:autoSpaceDE/>
              <w:autoSpaceDN/>
              <w:adjustRightInd/>
              <w:jc w:val="center"/>
              <w:textAlignment w:val="auto"/>
              <w:rPr>
                <w:i/>
                <w:iCs/>
                <w:color w:val="000000"/>
              </w:rPr>
            </w:pPr>
            <w:r w:rsidRPr="00544587">
              <w:rPr>
                <w:i/>
                <w:iCs/>
                <w:color w:val="000000"/>
              </w:rPr>
              <w:t xml:space="preserve">CRE </w:t>
            </w:r>
            <w:r w:rsidR="008E082E">
              <w:rPr>
                <w:i/>
                <w:iCs/>
                <w:color w:val="000000"/>
              </w:rPr>
              <w:t>T</w:t>
            </w:r>
            <w:r w:rsidRPr="00544587">
              <w:rPr>
                <w:i/>
                <w:iCs/>
                <w:color w:val="000000"/>
              </w:rPr>
              <w:t>ightening</w:t>
            </w:r>
            <w:r w:rsidR="00F85A66" w:rsidRPr="00F85A66">
              <w:rPr>
                <w:i/>
                <w:iCs/>
                <w:color w:val="000000"/>
                <w:vertAlign w:val="subscript"/>
              </w:rPr>
              <w:t>t</w:t>
            </w:r>
          </w:p>
        </w:tc>
        <w:tc>
          <w:tcPr>
            <w:tcW w:w="0" w:type="auto"/>
            <w:gridSpan w:val="3"/>
            <w:tcBorders>
              <w:top w:val="nil"/>
              <w:left w:val="nil"/>
              <w:bottom w:val="nil"/>
              <w:right w:val="nil"/>
            </w:tcBorders>
            <w:shd w:val="clear" w:color="auto" w:fill="auto"/>
            <w:noWrap/>
            <w:vAlign w:val="bottom"/>
            <w:hideMark/>
          </w:tcPr>
          <w:p w:rsidR="00544587" w:rsidRPr="00544587" w:rsidRDefault="00544587" w:rsidP="00544587">
            <w:pPr>
              <w:overflowPunct/>
              <w:autoSpaceDE/>
              <w:autoSpaceDN/>
              <w:adjustRightInd/>
              <w:jc w:val="center"/>
              <w:textAlignment w:val="auto"/>
              <w:rPr>
                <w:i/>
                <w:iCs/>
                <w:color w:val="000000"/>
              </w:rPr>
            </w:pPr>
            <w:r w:rsidRPr="00544587">
              <w:rPr>
                <w:i/>
                <w:iCs/>
                <w:color w:val="000000"/>
              </w:rPr>
              <w:t>Volume</w:t>
            </w:r>
            <w:r w:rsidR="00F85A66" w:rsidRPr="00F85A66">
              <w:rPr>
                <w:i/>
                <w:iCs/>
                <w:color w:val="000000"/>
                <w:vertAlign w:val="subscript"/>
              </w:rPr>
              <w:t>t</w:t>
            </w:r>
          </w:p>
        </w:tc>
        <w:tc>
          <w:tcPr>
            <w:tcW w:w="0" w:type="auto"/>
            <w:gridSpan w:val="3"/>
            <w:tcBorders>
              <w:top w:val="nil"/>
              <w:left w:val="nil"/>
              <w:bottom w:val="nil"/>
              <w:right w:val="nil"/>
            </w:tcBorders>
            <w:shd w:val="clear" w:color="auto" w:fill="auto"/>
            <w:noWrap/>
            <w:vAlign w:val="bottom"/>
            <w:hideMark/>
          </w:tcPr>
          <w:p w:rsidR="00544587" w:rsidRPr="00544587" w:rsidRDefault="00544587" w:rsidP="008E082E">
            <w:pPr>
              <w:overflowPunct/>
              <w:autoSpaceDE/>
              <w:autoSpaceDN/>
              <w:adjustRightInd/>
              <w:jc w:val="center"/>
              <w:textAlignment w:val="auto"/>
              <w:rPr>
                <w:i/>
                <w:iCs/>
                <w:color w:val="000000"/>
              </w:rPr>
            </w:pPr>
            <w:r w:rsidRPr="00544587">
              <w:rPr>
                <w:i/>
                <w:iCs/>
                <w:color w:val="000000"/>
              </w:rPr>
              <w:t xml:space="preserve">Capital </w:t>
            </w:r>
            <w:r w:rsidR="008E082E">
              <w:rPr>
                <w:i/>
                <w:iCs/>
                <w:color w:val="000000"/>
              </w:rPr>
              <w:t>G</w:t>
            </w:r>
            <w:r w:rsidRPr="00544587">
              <w:rPr>
                <w:i/>
                <w:iCs/>
                <w:color w:val="000000"/>
              </w:rPr>
              <w:t>ains</w:t>
            </w:r>
            <w:r w:rsidR="00F85A66" w:rsidRPr="00F85A66">
              <w:rPr>
                <w:i/>
                <w:iCs/>
                <w:color w:val="000000"/>
                <w:vertAlign w:val="subscript"/>
              </w:rPr>
              <w:t>t</w:t>
            </w:r>
          </w:p>
        </w:tc>
      </w:tr>
      <w:tr w:rsidR="00544587" w:rsidRPr="00544587" w:rsidTr="00157EC7">
        <w:trPr>
          <w:trHeight w:val="20"/>
        </w:trPr>
        <w:tc>
          <w:tcPr>
            <w:tcW w:w="0" w:type="auto"/>
            <w:tcBorders>
              <w:top w:val="nil"/>
              <w:left w:val="nil"/>
              <w:bottom w:val="double" w:sz="6" w:space="0" w:color="auto"/>
              <w:right w:val="nil"/>
            </w:tcBorders>
            <w:shd w:val="clear" w:color="auto" w:fill="auto"/>
            <w:noWrap/>
            <w:vAlign w:val="bottom"/>
            <w:hideMark/>
          </w:tcPr>
          <w:p w:rsidR="00544587" w:rsidRPr="00544587" w:rsidRDefault="00544587" w:rsidP="00544587">
            <w:pPr>
              <w:overflowPunct/>
              <w:autoSpaceDE/>
              <w:autoSpaceDN/>
              <w:adjustRightInd/>
              <w:textAlignment w:val="auto"/>
              <w:rPr>
                <w:color w:val="000000"/>
              </w:rPr>
            </w:pPr>
            <w:r w:rsidRPr="00544587">
              <w:rPr>
                <w:color w:val="000000"/>
              </w:rPr>
              <w:t>Variable</w:t>
            </w:r>
          </w:p>
        </w:tc>
        <w:tc>
          <w:tcPr>
            <w:tcW w:w="0" w:type="auto"/>
            <w:gridSpan w:val="2"/>
            <w:tcBorders>
              <w:top w:val="nil"/>
              <w:left w:val="nil"/>
              <w:bottom w:val="double" w:sz="6" w:space="0" w:color="auto"/>
              <w:right w:val="nil"/>
            </w:tcBorders>
            <w:shd w:val="clear" w:color="auto" w:fill="auto"/>
            <w:noWrap/>
            <w:vAlign w:val="bottom"/>
            <w:hideMark/>
          </w:tcPr>
          <w:p w:rsidR="00544587" w:rsidRPr="00544587" w:rsidRDefault="00544587" w:rsidP="00544587">
            <w:pPr>
              <w:overflowPunct/>
              <w:autoSpaceDE/>
              <w:autoSpaceDN/>
              <w:adjustRightInd/>
              <w:jc w:val="center"/>
              <w:textAlignment w:val="auto"/>
              <w:rPr>
                <w:color w:val="000000"/>
              </w:rPr>
            </w:pPr>
            <w:r w:rsidRPr="00544587">
              <w:rPr>
                <w:color w:val="000000"/>
              </w:rPr>
              <w:t>Coef</w:t>
            </w:r>
          </w:p>
        </w:tc>
        <w:tc>
          <w:tcPr>
            <w:tcW w:w="0" w:type="auto"/>
            <w:tcBorders>
              <w:top w:val="nil"/>
              <w:left w:val="nil"/>
              <w:bottom w:val="double" w:sz="6" w:space="0" w:color="auto"/>
              <w:right w:val="nil"/>
            </w:tcBorders>
            <w:shd w:val="clear" w:color="auto" w:fill="auto"/>
            <w:noWrap/>
            <w:vAlign w:val="bottom"/>
            <w:hideMark/>
          </w:tcPr>
          <w:p w:rsidR="00544587" w:rsidRPr="00544587" w:rsidRDefault="00532660" w:rsidP="000D4BF4">
            <w:pPr>
              <w:overflowPunct/>
              <w:autoSpaceDE/>
              <w:autoSpaceDN/>
              <w:adjustRightInd/>
              <w:textAlignment w:val="auto"/>
              <w:rPr>
                <w:color w:val="000000"/>
              </w:rPr>
            </w:pPr>
            <w:r>
              <w:rPr>
                <w:color w:val="000000"/>
              </w:rPr>
              <w:t>(</w:t>
            </w:r>
            <w:r w:rsidR="00544587" w:rsidRPr="00544587">
              <w:rPr>
                <w:color w:val="000000"/>
              </w:rPr>
              <w:t>t-stat</w:t>
            </w:r>
            <w:r>
              <w:rPr>
                <w:color w:val="000000"/>
              </w:rPr>
              <w:t>)</w:t>
            </w:r>
          </w:p>
        </w:tc>
        <w:tc>
          <w:tcPr>
            <w:tcW w:w="0" w:type="auto"/>
            <w:gridSpan w:val="2"/>
            <w:tcBorders>
              <w:top w:val="nil"/>
              <w:left w:val="nil"/>
              <w:bottom w:val="double" w:sz="6" w:space="0" w:color="auto"/>
              <w:right w:val="nil"/>
            </w:tcBorders>
            <w:shd w:val="clear" w:color="auto" w:fill="auto"/>
            <w:noWrap/>
            <w:vAlign w:val="bottom"/>
            <w:hideMark/>
          </w:tcPr>
          <w:p w:rsidR="00544587" w:rsidRPr="00544587" w:rsidRDefault="00544587" w:rsidP="00544587">
            <w:pPr>
              <w:overflowPunct/>
              <w:autoSpaceDE/>
              <w:autoSpaceDN/>
              <w:adjustRightInd/>
              <w:jc w:val="center"/>
              <w:textAlignment w:val="auto"/>
              <w:rPr>
                <w:color w:val="000000"/>
              </w:rPr>
            </w:pPr>
            <w:r w:rsidRPr="00544587">
              <w:rPr>
                <w:color w:val="000000"/>
              </w:rPr>
              <w:t>Coef</w:t>
            </w:r>
          </w:p>
        </w:tc>
        <w:tc>
          <w:tcPr>
            <w:tcW w:w="880" w:type="dxa"/>
            <w:tcBorders>
              <w:top w:val="nil"/>
              <w:left w:val="nil"/>
              <w:bottom w:val="double" w:sz="6" w:space="0" w:color="auto"/>
              <w:right w:val="nil"/>
            </w:tcBorders>
            <w:shd w:val="clear" w:color="auto" w:fill="auto"/>
            <w:noWrap/>
            <w:vAlign w:val="bottom"/>
            <w:hideMark/>
          </w:tcPr>
          <w:p w:rsidR="00544587" w:rsidRPr="00544587" w:rsidRDefault="00532660" w:rsidP="000D4BF4">
            <w:pPr>
              <w:overflowPunct/>
              <w:autoSpaceDE/>
              <w:autoSpaceDN/>
              <w:adjustRightInd/>
              <w:textAlignment w:val="auto"/>
              <w:rPr>
                <w:color w:val="000000"/>
              </w:rPr>
            </w:pPr>
            <w:r>
              <w:rPr>
                <w:color w:val="000000"/>
              </w:rPr>
              <w:t>(</w:t>
            </w:r>
            <w:r w:rsidR="00544587" w:rsidRPr="00544587">
              <w:rPr>
                <w:color w:val="000000"/>
              </w:rPr>
              <w:t>t-stat</w:t>
            </w:r>
            <w:r>
              <w:rPr>
                <w:color w:val="000000"/>
              </w:rPr>
              <w:t>)</w:t>
            </w:r>
          </w:p>
        </w:tc>
        <w:tc>
          <w:tcPr>
            <w:tcW w:w="0" w:type="auto"/>
            <w:gridSpan w:val="2"/>
            <w:tcBorders>
              <w:top w:val="nil"/>
              <w:left w:val="nil"/>
              <w:bottom w:val="double" w:sz="6" w:space="0" w:color="auto"/>
              <w:right w:val="nil"/>
            </w:tcBorders>
            <w:shd w:val="clear" w:color="auto" w:fill="auto"/>
            <w:noWrap/>
            <w:vAlign w:val="bottom"/>
            <w:hideMark/>
          </w:tcPr>
          <w:p w:rsidR="00544587" w:rsidRPr="00544587" w:rsidRDefault="00544587" w:rsidP="00544587">
            <w:pPr>
              <w:overflowPunct/>
              <w:autoSpaceDE/>
              <w:autoSpaceDN/>
              <w:adjustRightInd/>
              <w:jc w:val="center"/>
              <w:textAlignment w:val="auto"/>
              <w:rPr>
                <w:color w:val="000000"/>
              </w:rPr>
            </w:pPr>
            <w:r w:rsidRPr="00544587">
              <w:rPr>
                <w:color w:val="000000"/>
              </w:rPr>
              <w:t>Coef</w:t>
            </w:r>
          </w:p>
        </w:tc>
        <w:tc>
          <w:tcPr>
            <w:tcW w:w="0" w:type="auto"/>
            <w:tcBorders>
              <w:top w:val="nil"/>
              <w:left w:val="nil"/>
              <w:bottom w:val="double" w:sz="6" w:space="0" w:color="auto"/>
              <w:right w:val="nil"/>
            </w:tcBorders>
            <w:shd w:val="clear" w:color="auto" w:fill="auto"/>
            <w:noWrap/>
            <w:vAlign w:val="bottom"/>
            <w:hideMark/>
          </w:tcPr>
          <w:p w:rsidR="00544587" w:rsidRPr="00544587" w:rsidRDefault="00532660" w:rsidP="000D4BF4">
            <w:pPr>
              <w:overflowPunct/>
              <w:autoSpaceDE/>
              <w:autoSpaceDN/>
              <w:adjustRightInd/>
              <w:textAlignment w:val="auto"/>
              <w:rPr>
                <w:color w:val="000000"/>
              </w:rPr>
            </w:pPr>
            <w:r>
              <w:rPr>
                <w:color w:val="000000"/>
              </w:rPr>
              <w:t>(</w:t>
            </w:r>
            <w:r w:rsidR="00544587" w:rsidRPr="00544587">
              <w:rPr>
                <w:color w:val="000000"/>
              </w:rPr>
              <w:t>t-stat</w:t>
            </w:r>
            <w:r>
              <w:rPr>
                <w:color w:val="000000"/>
              </w:rPr>
              <w:t>)</w:t>
            </w:r>
          </w:p>
        </w:tc>
        <w:tc>
          <w:tcPr>
            <w:tcW w:w="0" w:type="auto"/>
            <w:gridSpan w:val="2"/>
            <w:tcBorders>
              <w:top w:val="nil"/>
              <w:left w:val="nil"/>
              <w:bottom w:val="double" w:sz="6" w:space="0" w:color="auto"/>
              <w:right w:val="nil"/>
            </w:tcBorders>
            <w:shd w:val="clear" w:color="auto" w:fill="auto"/>
            <w:noWrap/>
            <w:vAlign w:val="bottom"/>
            <w:hideMark/>
          </w:tcPr>
          <w:p w:rsidR="00544587" w:rsidRPr="00544587" w:rsidRDefault="00544587" w:rsidP="00544587">
            <w:pPr>
              <w:overflowPunct/>
              <w:autoSpaceDE/>
              <w:autoSpaceDN/>
              <w:adjustRightInd/>
              <w:jc w:val="center"/>
              <w:textAlignment w:val="auto"/>
              <w:rPr>
                <w:color w:val="000000"/>
              </w:rPr>
            </w:pPr>
            <w:r w:rsidRPr="00544587">
              <w:rPr>
                <w:color w:val="000000"/>
              </w:rPr>
              <w:t>Coef</w:t>
            </w:r>
          </w:p>
        </w:tc>
        <w:tc>
          <w:tcPr>
            <w:tcW w:w="0" w:type="auto"/>
            <w:tcBorders>
              <w:top w:val="nil"/>
              <w:left w:val="nil"/>
              <w:bottom w:val="double" w:sz="6" w:space="0" w:color="auto"/>
              <w:right w:val="nil"/>
            </w:tcBorders>
            <w:shd w:val="clear" w:color="auto" w:fill="auto"/>
            <w:noWrap/>
            <w:vAlign w:val="bottom"/>
            <w:hideMark/>
          </w:tcPr>
          <w:p w:rsidR="00544587" w:rsidRPr="00544587" w:rsidRDefault="00532660" w:rsidP="000D4BF4">
            <w:pPr>
              <w:overflowPunct/>
              <w:autoSpaceDE/>
              <w:autoSpaceDN/>
              <w:adjustRightInd/>
              <w:textAlignment w:val="auto"/>
              <w:rPr>
                <w:color w:val="000000"/>
              </w:rPr>
            </w:pPr>
            <w:r>
              <w:rPr>
                <w:color w:val="000000"/>
              </w:rPr>
              <w:t>(</w:t>
            </w:r>
            <w:r w:rsidR="00544587" w:rsidRPr="00544587">
              <w:rPr>
                <w:color w:val="000000"/>
              </w:rPr>
              <w:t>t-stat</w:t>
            </w:r>
            <w:r>
              <w:rPr>
                <w:color w:val="000000"/>
              </w:rPr>
              <w:t>)</w:t>
            </w:r>
          </w:p>
        </w:tc>
      </w:tr>
      <w:tr w:rsidR="00F85A66" w:rsidRPr="00544587" w:rsidTr="00157EC7">
        <w:trPr>
          <w:trHeight w:val="20"/>
        </w:trPr>
        <w:tc>
          <w:tcPr>
            <w:tcW w:w="0" w:type="auto"/>
            <w:tcBorders>
              <w:top w:val="nil"/>
              <w:left w:val="nil"/>
              <w:bottom w:val="nil"/>
              <w:right w:val="nil"/>
            </w:tcBorders>
            <w:shd w:val="clear" w:color="auto" w:fill="auto"/>
            <w:noWrap/>
            <w:vAlign w:val="bottom"/>
            <w:hideMark/>
          </w:tcPr>
          <w:p w:rsidR="00544587" w:rsidRPr="00544587" w:rsidRDefault="00544587" w:rsidP="008E082E">
            <w:pPr>
              <w:overflowPunct/>
              <w:autoSpaceDE/>
              <w:autoSpaceDN/>
              <w:adjustRightInd/>
              <w:spacing w:before="60"/>
              <w:textAlignment w:val="auto"/>
              <w:rPr>
                <w:color w:val="000000"/>
              </w:rPr>
            </w:pPr>
            <w:r w:rsidRPr="00544587">
              <w:rPr>
                <w:color w:val="000000"/>
              </w:rPr>
              <w:t xml:space="preserve">Income </w:t>
            </w:r>
            <w:r w:rsidR="008E082E">
              <w:rPr>
                <w:color w:val="000000"/>
              </w:rPr>
              <w:t>R</w:t>
            </w:r>
            <w:r w:rsidRPr="00544587">
              <w:rPr>
                <w:color w:val="000000"/>
              </w:rPr>
              <w:t>eturn</w:t>
            </w:r>
            <w:r w:rsidR="008E082E">
              <w:rPr>
                <w:color w:val="000000"/>
              </w:rPr>
              <w:t>s</w:t>
            </w:r>
            <w:r w:rsidR="00F85A66" w:rsidRPr="00F85A66">
              <w:rPr>
                <w:color w:val="000000"/>
                <w:vertAlign w:val="subscript"/>
              </w:rPr>
              <w:t>t-1</w:t>
            </w:r>
          </w:p>
        </w:tc>
        <w:tc>
          <w:tcPr>
            <w:tcW w:w="0" w:type="auto"/>
            <w:tcBorders>
              <w:top w:val="nil"/>
              <w:left w:val="nil"/>
              <w:bottom w:val="nil"/>
              <w:right w:val="nil"/>
            </w:tcBorders>
            <w:shd w:val="clear" w:color="auto" w:fill="auto"/>
            <w:noWrap/>
            <w:vAlign w:val="bottom"/>
            <w:hideMark/>
          </w:tcPr>
          <w:p w:rsidR="00544587" w:rsidRPr="00544587" w:rsidRDefault="00544587" w:rsidP="00532660">
            <w:pPr>
              <w:overflowPunct/>
              <w:autoSpaceDE/>
              <w:autoSpaceDN/>
              <w:adjustRightInd/>
              <w:spacing w:before="60"/>
              <w:ind w:right="-91"/>
              <w:jc w:val="right"/>
              <w:textAlignment w:val="auto"/>
              <w:rPr>
                <w:color w:val="000000"/>
              </w:rPr>
            </w:pPr>
            <w:r w:rsidRPr="00544587">
              <w:rPr>
                <w:color w:val="000000"/>
              </w:rPr>
              <w:t>0.994</w:t>
            </w:r>
          </w:p>
        </w:tc>
        <w:tc>
          <w:tcPr>
            <w:tcW w:w="0" w:type="auto"/>
            <w:tcBorders>
              <w:top w:val="nil"/>
              <w:left w:val="nil"/>
              <w:bottom w:val="nil"/>
              <w:right w:val="nil"/>
            </w:tcBorders>
            <w:shd w:val="clear" w:color="auto" w:fill="auto"/>
            <w:noWrap/>
            <w:vAlign w:val="bottom"/>
            <w:hideMark/>
          </w:tcPr>
          <w:p w:rsidR="00544587" w:rsidRPr="00544587" w:rsidRDefault="00544587" w:rsidP="00532660">
            <w:pPr>
              <w:overflowPunct/>
              <w:autoSpaceDE/>
              <w:autoSpaceDN/>
              <w:adjustRightInd/>
              <w:spacing w:before="60"/>
              <w:ind w:left="-109"/>
              <w:textAlignment w:val="auto"/>
              <w:rPr>
                <w:color w:val="000000"/>
              </w:rPr>
            </w:pPr>
            <w:r w:rsidRPr="00544587">
              <w:rPr>
                <w:color w:val="000000"/>
                <w:vertAlign w:val="superscript"/>
              </w:rPr>
              <w:t>***</w:t>
            </w:r>
          </w:p>
        </w:tc>
        <w:tc>
          <w:tcPr>
            <w:tcW w:w="0" w:type="auto"/>
            <w:tcBorders>
              <w:top w:val="nil"/>
              <w:left w:val="nil"/>
              <w:bottom w:val="nil"/>
              <w:right w:val="nil"/>
            </w:tcBorders>
            <w:shd w:val="clear" w:color="auto" w:fill="auto"/>
            <w:noWrap/>
            <w:vAlign w:val="bottom"/>
            <w:hideMark/>
          </w:tcPr>
          <w:p w:rsidR="00544587" w:rsidRPr="00544587" w:rsidRDefault="00532660" w:rsidP="000D4BF4">
            <w:pPr>
              <w:overflowPunct/>
              <w:autoSpaceDE/>
              <w:autoSpaceDN/>
              <w:adjustRightInd/>
              <w:spacing w:before="60"/>
              <w:textAlignment w:val="auto"/>
              <w:rPr>
                <w:color w:val="000000"/>
              </w:rPr>
            </w:pPr>
            <w:r>
              <w:rPr>
                <w:color w:val="000000"/>
              </w:rPr>
              <w:t>(</w:t>
            </w:r>
            <w:r w:rsidR="00544587" w:rsidRPr="00544587">
              <w:rPr>
                <w:color w:val="000000"/>
              </w:rPr>
              <w:t>60.2</w:t>
            </w:r>
            <w:r>
              <w:rPr>
                <w:color w:val="000000"/>
              </w:rPr>
              <w:t>)</w:t>
            </w:r>
          </w:p>
        </w:tc>
        <w:tc>
          <w:tcPr>
            <w:tcW w:w="0" w:type="auto"/>
            <w:tcBorders>
              <w:top w:val="nil"/>
              <w:left w:val="nil"/>
              <w:bottom w:val="nil"/>
              <w:right w:val="nil"/>
            </w:tcBorders>
            <w:shd w:val="clear" w:color="auto" w:fill="auto"/>
            <w:noWrap/>
            <w:vAlign w:val="bottom"/>
            <w:hideMark/>
          </w:tcPr>
          <w:p w:rsidR="00544587" w:rsidRPr="00544587" w:rsidRDefault="00544587" w:rsidP="00532660">
            <w:pPr>
              <w:overflowPunct/>
              <w:autoSpaceDE/>
              <w:autoSpaceDN/>
              <w:adjustRightInd/>
              <w:spacing w:before="60"/>
              <w:ind w:right="-119"/>
              <w:jc w:val="right"/>
              <w:textAlignment w:val="auto"/>
              <w:rPr>
                <w:color w:val="000000"/>
              </w:rPr>
            </w:pPr>
            <w:r w:rsidRPr="00544587">
              <w:rPr>
                <w:color w:val="000000"/>
              </w:rPr>
              <w:t>0.003</w:t>
            </w:r>
          </w:p>
        </w:tc>
        <w:tc>
          <w:tcPr>
            <w:tcW w:w="0" w:type="auto"/>
            <w:tcBorders>
              <w:top w:val="nil"/>
              <w:left w:val="nil"/>
              <w:bottom w:val="nil"/>
              <w:right w:val="nil"/>
            </w:tcBorders>
            <w:shd w:val="clear" w:color="auto" w:fill="auto"/>
            <w:noWrap/>
            <w:vAlign w:val="bottom"/>
            <w:hideMark/>
          </w:tcPr>
          <w:p w:rsidR="00544587" w:rsidRPr="00544587" w:rsidRDefault="00544587" w:rsidP="00532660">
            <w:pPr>
              <w:overflowPunct/>
              <w:autoSpaceDE/>
              <w:autoSpaceDN/>
              <w:adjustRightInd/>
              <w:spacing w:before="60"/>
              <w:ind w:left="-94"/>
              <w:textAlignment w:val="auto"/>
              <w:rPr>
                <w:color w:val="000000"/>
              </w:rPr>
            </w:pPr>
          </w:p>
        </w:tc>
        <w:tc>
          <w:tcPr>
            <w:tcW w:w="880" w:type="dxa"/>
            <w:tcBorders>
              <w:top w:val="nil"/>
              <w:left w:val="nil"/>
              <w:bottom w:val="nil"/>
              <w:right w:val="nil"/>
            </w:tcBorders>
            <w:shd w:val="clear" w:color="auto" w:fill="auto"/>
            <w:noWrap/>
            <w:vAlign w:val="bottom"/>
            <w:hideMark/>
          </w:tcPr>
          <w:p w:rsidR="00544587" w:rsidRPr="00544587" w:rsidRDefault="00532660" w:rsidP="000D4BF4">
            <w:pPr>
              <w:overflowPunct/>
              <w:autoSpaceDE/>
              <w:autoSpaceDN/>
              <w:adjustRightInd/>
              <w:spacing w:before="60"/>
              <w:textAlignment w:val="auto"/>
              <w:rPr>
                <w:color w:val="000000"/>
              </w:rPr>
            </w:pPr>
            <w:r>
              <w:rPr>
                <w:color w:val="000000"/>
              </w:rPr>
              <w:t>(</w:t>
            </w:r>
            <w:r w:rsidR="00544587" w:rsidRPr="00544587">
              <w:rPr>
                <w:color w:val="000000"/>
              </w:rPr>
              <w:t>0.1</w:t>
            </w:r>
            <w:r>
              <w:rPr>
                <w:color w:val="000000"/>
              </w:rPr>
              <w:t>)</w:t>
            </w:r>
          </w:p>
        </w:tc>
        <w:tc>
          <w:tcPr>
            <w:tcW w:w="0" w:type="auto"/>
            <w:tcBorders>
              <w:top w:val="nil"/>
              <w:left w:val="nil"/>
              <w:bottom w:val="nil"/>
              <w:right w:val="nil"/>
            </w:tcBorders>
            <w:shd w:val="clear" w:color="auto" w:fill="auto"/>
            <w:noWrap/>
            <w:vAlign w:val="bottom"/>
            <w:hideMark/>
          </w:tcPr>
          <w:p w:rsidR="00544587" w:rsidRPr="00544587" w:rsidRDefault="00544587" w:rsidP="00532660">
            <w:pPr>
              <w:overflowPunct/>
              <w:autoSpaceDE/>
              <w:autoSpaceDN/>
              <w:adjustRightInd/>
              <w:spacing w:before="60"/>
              <w:ind w:right="-53"/>
              <w:jc w:val="right"/>
              <w:textAlignment w:val="auto"/>
              <w:rPr>
                <w:color w:val="000000"/>
              </w:rPr>
            </w:pPr>
            <w:r w:rsidRPr="00544587">
              <w:rPr>
                <w:color w:val="000000"/>
              </w:rPr>
              <w:t>0.161</w:t>
            </w:r>
          </w:p>
        </w:tc>
        <w:tc>
          <w:tcPr>
            <w:tcW w:w="0" w:type="auto"/>
            <w:tcBorders>
              <w:top w:val="nil"/>
              <w:left w:val="nil"/>
              <w:bottom w:val="nil"/>
              <w:right w:val="nil"/>
            </w:tcBorders>
            <w:shd w:val="clear" w:color="auto" w:fill="auto"/>
            <w:noWrap/>
            <w:vAlign w:val="bottom"/>
            <w:hideMark/>
          </w:tcPr>
          <w:p w:rsidR="00544587" w:rsidRPr="00544587" w:rsidRDefault="00544587" w:rsidP="00532660">
            <w:pPr>
              <w:overflowPunct/>
              <w:autoSpaceDE/>
              <w:autoSpaceDN/>
              <w:adjustRightInd/>
              <w:spacing w:before="60"/>
              <w:ind w:left="-40"/>
              <w:textAlignment w:val="auto"/>
              <w:rPr>
                <w:color w:val="000000"/>
              </w:rPr>
            </w:pPr>
            <w:r w:rsidRPr="00544587">
              <w:rPr>
                <w:color w:val="000000"/>
                <w:vertAlign w:val="superscript"/>
              </w:rPr>
              <w:t>*</w:t>
            </w:r>
          </w:p>
        </w:tc>
        <w:tc>
          <w:tcPr>
            <w:tcW w:w="0" w:type="auto"/>
            <w:tcBorders>
              <w:top w:val="nil"/>
              <w:left w:val="nil"/>
              <w:bottom w:val="nil"/>
              <w:right w:val="nil"/>
            </w:tcBorders>
            <w:shd w:val="clear" w:color="auto" w:fill="auto"/>
            <w:noWrap/>
            <w:vAlign w:val="bottom"/>
            <w:hideMark/>
          </w:tcPr>
          <w:p w:rsidR="00544587" w:rsidRPr="00544587" w:rsidRDefault="00532660" w:rsidP="000D4BF4">
            <w:pPr>
              <w:overflowPunct/>
              <w:autoSpaceDE/>
              <w:autoSpaceDN/>
              <w:adjustRightInd/>
              <w:spacing w:before="60"/>
              <w:textAlignment w:val="auto"/>
              <w:rPr>
                <w:color w:val="000000"/>
              </w:rPr>
            </w:pPr>
            <w:r>
              <w:rPr>
                <w:color w:val="000000"/>
              </w:rPr>
              <w:t>(</w:t>
            </w:r>
            <w:r w:rsidR="00544587" w:rsidRPr="00544587">
              <w:rPr>
                <w:color w:val="000000"/>
              </w:rPr>
              <w:t>1.9</w:t>
            </w:r>
            <w:r>
              <w:rPr>
                <w:color w:val="000000"/>
              </w:rPr>
              <w:t>)</w:t>
            </w:r>
          </w:p>
        </w:tc>
        <w:tc>
          <w:tcPr>
            <w:tcW w:w="0" w:type="auto"/>
            <w:tcBorders>
              <w:top w:val="nil"/>
              <w:left w:val="nil"/>
              <w:bottom w:val="nil"/>
              <w:right w:val="nil"/>
            </w:tcBorders>
            <w:shd w:val="clear" w:color="auto" w:fill="auto"/>
            <w:noWrap/>
            <w:vAlign w:val="bottom"/>
            <w:hideMark/>
          </w:tcPr>
          <w:p w:rsidR="00544587" w:rsidRPr="00544587" w:rsidRDefault="00544587" w:rsidP="00532660">
            <w:pPr>
              <w:overflowPunct/>
              <w:autoSpaceDE/>
              <w:autoSpaceDN/>
              <w:adjustRightInd/>
              <w:spacing w:before="60"/>
              <w:ind w:right="-49"/>
              <w:jc w:val="right"/>
              <w:textAlignment w:val="auto"/>
              <w:rPr>
                <w:color w:val="000000"/>
              </w:rPr>
            </w:pPr>
            <w:r w:rsidRPr="00544587">
              <w:rPr>
                <w:color w:val="000000"/>
              </w:rPr>
              <w:t>0.001</w:t>
            </w:r>
          </w:p>
        </w:tc>
        <w:tc>
          <w:tcPr>
            <w:tcW w:w="0" w:type="auto"/>
            <w:tcBorders>
              <w:top w:val="nil"/>
              <w:left w:val="nil"/>
              <w:bottom w:val="nil"/>
              <w:right w:val="nil"/>
            </w:tcBorders>
            <w:shd w:val="clear" w:color="auto" w:fill="auto"/>
            <w:noWrap/>
            <w:vAlign w:val="bottom"/>
            <w:hideMark/>
          </w:tcPr>
          <w:p w:rsidR="00544587" w:rsidRPr="00544587" w:rsidRDefault="00544587" w:rsidP="00532660">
            <w:pPr>
              <w:overflowPunct/>
              <w:autoSpaceDE/>
              <w:autoSpaceDN/>
              <w:adjustRightInd/>
              <w:spacing w:before="60"/>
              <w:ind w:left="-94"/>
              <w:textAlignment w:val="auto"/>
              <w:rPr>
                <w:color w:val="000000"/>
              </w:rPr>
            </w:pPr>
          </w:p>
        </w:tc>
        <w:tc>
          <w:tcPr>
            <w:tcW w:w="0" w:type="auto"/>
            <w:tcBorders>
              <w:top w:val="nil"/>
              <w:left w:val="nil"/>
              <w:bottom w:val="nil"/>
              <w:right w:val="nil"/>
            </w:tcBorders>
            <w:shd w:val="clear" w:color="auto" w:fill="auto"/>
            <w:noWrap/>
            <w:vAlign w:val="bottom"/>
            <w:hideMark/>
          </w:tcPr>
          <w:p w:rsidR="00544587" w:rsidRPr="00544587" w:rsidRDefault="00532660" w:rsidP="000D4BF4">
            <w:pPr>
              <w:overflowPunct/>
              <w:autoSpaceDE/>
              <w:autoSpaceDN/>
              <w:adjustRightInd/>
              <w:spacing w:before="60"/>
              <w:textAlignment w:val="auto"/>
              <w:rPr>
                <w:color w:val="000000"/>
              </w:rPr>
            </w:pPr>
            <w:r>
              <w:rPr>
                <w:color w:val="000000"/>
              </w:rPr>
              <w:t>(</w:t>
            </w:r>
            <w:r w:rsidR="00544587" w:rsidRPr="00544587">
              <w:rPr>
                <w:color w:val="000000"/>
              </w:rPr>
              <w:t>0.0</w:t>
            </w:r>
            <w:r>
              <w:rPr>
                <w:color w:val="000000"/>
              </w:rPr>
              <w:t>)</w:t>
            </w:r>
          </w:p>
        </w:tc>
      </w:tr>
      <w:tr w:rsidR="00F85A66" w:rsidRPr="00544587" w:rsidTr="00157EC7">
        <w:trPr>
          <w:trHeight w:val="20"/>
        </w:trPr>
        <w:tc>
          <w:tcPr>
            <w:tcW w:w="0" w:type="auto"/>
            <w:tcBorders>
              <w:top w:val="nil"/>
              <w:left w:val="nil"/>
              <w:bottom w:val="nil"/>
              <w:right w:val="nil"/>
            </w:tcBorders>
            <w:shd w:val="clear" w:color="auto" w:fill="auto"/>
            <w:noWrap/>
            <w:vAlign w:val="bottom"/>
            <w:hideMark/>
          </w:tcPr>
          <w:p w:rsidR="00544587" w:rsidRPr="00544587" w:rsidRDefault="00544587" w:rsidP="008E082E">
            <w:pPr>
              <w:overflowPunct/>
              <w:autoSpaceDE/>
              <w:autoSpaceDN/>
              <w:adjustRightInd/>
              <w:textAlignment w:val="auto"/>
              <w:rPr>
                <w:color w:val="000000"/>
              </w:rPr>
            </w:pPr>
            <w:r w:rsidRPr="00544587">
              <w:rPr>
                <w:color w:val="000000"/>
              </w:rPr>
              <w:t xml:space="preserve">Capital </w:t>
            </w:r>
            <w:r w:rsidR="008E082E">
              <w:rPr>
                <w:color w:val="000000"/>
              </w:rPr>
              <w:t>G</w:t>
            </w:r>
            <w:r w:rsidRPr="00544587">
              <w:rPr>
                <w:color w:val="000000"/>
              </w:rPr>
              <w:t>ains</w:t>
            </w:r>
            <w:r w:rsidR="00F85A66" w:rsidRPr="00F85A66">
              <w:rPr>
                <w:color w:val="000000"/>
                <w:vertAlign w:val="subscript"/>
              </w:rPr>
              <w:t>t-1</w:t>
            </w:r>
          </w:p>
        </w:tc>
        <w:tc>
          <w:tcPr>
            <w:tcW w:w="0" w:type="auto"/>
            <w:tcBorders>
              <w:top w:val="nil"/>
              <w:left w:val="nil"/>
              <w:bottom w:val="nil"/>
              <w:right w:val="nil"/>
            </w:tcBorders>
            <w:shd w:val="clear" w:color="auto" w:fill="auto"/>
            <w:noWrap/>
            <w:vAlign w:val="bottom"/>
            <w:hideMark/>
          </w:tcPr>
          <w:p w:rsidR="00544587" w:rsidRPr="00544587" w:rsidRDefault="00544587" w:rsidP="00532660">
            <w:pPr>
              <w:overflowPunct/>
              <w:autoSpaceDE/>
              <w:autoSpaceDN/>
              <w:adjustRightInd/>
              <w:ind w:right="-91"/>
              <w:jc w:val="right"/>
              <w:textAlignment w:val="auto"/>
              <w:rPr>
                <w:color w:val="000000"/>
              </w:rPr>
            </w:pPr>
            <w:r w:rsidRPr="00544587">
              <w:rPr>
                <w:color w:val="000000"/>
              </w:rPr>
              <w:t>-0.100</w:t>
            </w:r>
          </w:p>
        </w:tc>
        <w:tc>
          <w:tcPr>
            <w:tcW w:w="0" w:type="auto"/>
            <w:tcBorders>
              <w:top w:val="nil"/>
              <w:left w:val="nil"/>
              <w:bottom w:val="nil"/>
              <w:right w:val="nil"/>
            </w:tcBorders>
            <w:shd w:val="clear" w:color="auto" w:fill="auto"/>
            <w:noWrap/>
            <w:vAlign w:val="bottom"/>
            <w:hideMark/>
          </w:tcPr>
          <w:p w:rsidR="00544587" w:rsidRPr="00544587" w:rsidRDefault="00544587" w:rsidP="00532660">
            <w:pPr>
              <w:overflowPunct/>
              <w:autoSpaceDE/>
              <w:autoSpaceDN/>
              <w:adjustRightInd/>
              <w:ind w:left="-109"/>
              <w:textAlignment w:val="auto"/>
              <w:rPr>
                <w:color w:val="000000"/>
              </w:rPr>
            </w:pPr>
            <w:r w:rsidRPr="00544587">
              <w:rPr>
                <w:color w:val="000000"/>
                <w:vertAlign w:val="superscript"/>
              </w:rPr>
              <w:t>***</w:t>
            </w:r>
          </w:p>
        </w:tc>
        <w:tc>
          <w:tcPr>
            <w:tcW w:w="0" w:type="auto"/>
            <w:tcBorders>
              <w:top w:val="nil"/>
              <w:left w:val="nil"/>
              <w:bottom w:val="nil"/>
              <w:right w:val="nil"/>
            </w:tcBorders>
            <w:shd w:val="clear" w:color="auto" w:fill="auto"/>
            <w:noWrap/>
            <w:vAlign w:val="bottom"/>
            <w:hideMark/>
          </w:tcPr>
          <w:p w:rsidR="00544587" w:rsidRPr="00544587" w:rsidRDefault="00532660" w:rsidP="000D4BF4">
            <w:pPr>
              <w:overflowPunct/>
              <w:autoSpaceDE/>
              <w:autoSpaceDN/>
              <w:adjustRightInd/>
              <w:textAlignment w:val="auto"/>
              <w:rPr>
                <w:color w:val="000000"/>
              </w:rPr>
            </w:pPr>
            <w:r>
              <w:rPr>
                <w:color w:val="000000"/>
              </w:rPr>
              <w:t>(</w:t>
            </w:r>
            <w:r w:rsidR="00544587" w:rsidRPr="00544587">
              <w:rPr>
                <w:color w:val="000000"/>
              </w:rPr>
              <w:t>-4.8</w:t>
            </w:r>
            <w:r>
              <w:rPr>
                <w:color w:val="000000"/>
              </w:rPr>
              <w:t>)</w:t>
            </w:r>
          </w:p>
        </w:tc>
        <w:tc>
          <w:tcPr>
            <w:tcW w:w="0" w:type="auto"/>
            <w:tcBorders>
              <w:top w:val="nil"/>
              <w:left w:val="nil"/>
              <w:bottom w:val="nil"/>
              <w:right w:val="nil"/>
            </w:tcBorders>
            <w:shd w:val="clear" w:color="auto" w:fill="auto"/>
            <w:noWrap/>
            <w:vAlign w:val="bottom"/>
            <w:hideMark/>
          </w:tcPr>
          <w:p w:rsidR="00544587" w:rsidRPr="00544587" w:rsidRDefault="00544587" w:rsidP="00532660">
            <w:pPr>
              <w:overflowPunct/>
              <w:autoSpaceDE/>
              <w:autoSpaceDN/>
              <w:adjustRightInd/>
              <w:ind w:right="-119"/>
              <w:jc w:val="right"/>
              <w:textAlignment w:val="auto"/>
              <w:rPr>
                <w:color w:val="000000"/>
              </w:rPr>
            </w:pPr>
            <w:r w:rsidRPr="00544587">
              <w:rPr>
                <w:color w:val="000000"/>
              </w:rPr>
              <w:t>0.144</w:t>
            </w:r>
          </w:p>
        </w:tc>
        <w:tc>
          <w:tcPr>
            <w:tcW w:w="0" w:type="auto"/>
            <w:tcBorders>
              <w:top w:val="nil"/>
              <w:left w:val="nil"/>
              <w:bottom w:val="nil"/>
              <w:right w:val="nil"/>
            </w:tcBorders>
            <w:shd w:val="clear" w:color="auto" w:fill="auto"/>
            <w:noWrap/>
            <w:vAlign w:val="bottom"/>
            <w:hideMark/>
          </w:tcPr>
          <w:p w:rsidR="00544587" w:rsidRPr="00544587" w:rsidRDefault="00544587" w:rsidP="00532660">
            <w:pPr>
              <w:overflowPunct/>
              <w:autoSpaceDE/>
              <w:autoSpaceDN/>
              <w:adjustRightInd/>
              <w:ind w:left="-94"/>
              <w:textAlignment w:val="auto"/>
              <w:rPr>
                <w:color w:val="000000"/>
              </w:rPr>
            </w:pPr>
            <w:r w:rsidRPr="00544587">
              <w:rPr>
                <w:color w:val="000000"/>
                <w:vertAlign w:val="superscript"/>
              </w:rPr>
              <w:t>***</w:t>
            </w:r>
          </w:p>
        </w:tc>
        <w:tc>
          <w:tcPr>
            <w:tcW w:w="880" w:type="dxa"/>
            <w:tcBorders>
              <w:top w:val="nil"/>
              <w:left w:val="nil"/>
              <w:bottom w:val="nil"/>
              <w:right w:val="nil"/>
            </w:tcBorders>
            <w:shd w:val="clear" w:color="auto" w:fill="auto"/>
            <w:noWrap/>
            <w:vAlign w:val="bottom"/>
            <w:hideMark/>
          </w:tcPr>
          <w:p w:rsidR="00544587" w:rsidRPr="00544587" w:rsidRDefault="00532660" w:rsidP="000D4BF4">
            <w:pPr>
              <w:overflowPunct/>
              <w:autoSpaceDE/>
              <w:autoSpaceDN/>
              <w:adjustRightInd/>
              <w:textAlignment w:val="auto"/>
              <w:rPr>
                <w:color w:val="000000"/>
              </w:rPr>
            </w:pPr>
            <w:r>
              <w:rPr>
                <w:color w:val="000000"/>
              </w:rPr>
              <w:t>(</w:t>
            </w:r>
            <w:r w:rsidR="00544587" w:rsidRPr="00544587">
              <w:rPr>
                <w:color w:val="000000"/>
              </w:rPr>
              <w:t>2.7</w:t>
            </w:r>
            <w:r>
              <w:rPr>
                <w:color w:val="000000"/>
              </w:rPr>
              <w:t>)</w:t>
            </w:r>
          </w:p>
        </w:tc>
        <w:tc>
          <w:tcPr>
            <w:tcW w:w="0" w:type="auto"/>
            <w:tcBorders>
              <w:top w:val="nil"/>
              <w:left w:val="nil"/>
              <w:bottom w:val="nil"/>
              <w:right w:val="nil"/>
            </w:tcBorders>
            <w:shd w:val="clear" w:color="auto" w:fill="auto"/>
            <w:noWrap/>
            <w:vAlign w:val="bottom"/>
            <w:hideMark/>
          </w:tcPr>
          <w:p w:rsidR="00544587" w:rsidRPr="00544587" w:rsidRDefault="00544587" w:rsidP="00532660">
            <w:pPr>
              <w:overflowPunct/>
              <w:autoSpaceDE/>
              <w:autoSpaceDN/>
              <w:adjustRightInd/>
              <w:ind w:right="-53"/>
              <w:jc w:val="right"/>
              <w:textAlignment w:val="auto"/>
              <w:rPr>
                <w:color w:val="000000"/>
              </w:rPr>
            </w:pPr>
            <w:r w:rsidRPr="00544587">
              <w:rPr>
                <w:color w:val="000000"/>
              </w:rPr>
              <w:t>0.247</w:t>
            </w:r>
          </w:p>
        </w:tc>
        <w:tc>
          <w:tcPr>
            <w:tcW w:w="0" w:type="auto"/>
            <w:tcBorders>
              <w:top w:val="nil"/>
              <w:left w:val="nil"/>
              <w:bottom w:val="nil"/>
              <w:right w:val="nil"/>
            </w:tcBorders>
            <w:shd w:val="clear" w:color="auto" w:fill="auto"/>
            <w:noWrap/>
            <w:vAlign w:val="bottom"/>
            <w:hideMark/>
          </w:tcPr>
          <w:p w:rsidR="00544587" w:rsidRPr="00544587" w:rsidRDefault="00544587" w:rsidP="00532660">
            <w:pPr>
              <w:overflowPunct/>
              <w:autoSpaceDE/>
              <w:autoSpaceDN/>
              <w:adjustRightInd/>
              <w:ind w:left="-40"/>
              <w:textAlignment w:val="auto"/>
              <w:rPr>
                <w:color w:val="000000"/>
              </w:rPr>
            </w:pPr>
            <w:r w:rsidRPr="00544587">
              <w:rPr>
                <w:color w:val="000000"/>
                <w:vertAlign w:val="superscript"/>
              </w:rPr>
              <w:t>**</w:t>
            </w:r>
          </w:p>
        </w:tc>
        <w:tc>
          <w:tcPr>
            <w:tcW w:w="0" w:type="auto"/>
            <w:tcBorders>
              <w:top w:val="nil"/>
              <w:left w:val="nil"/>
              <w:bottom w:val="nil"/>
              <w:right w:val="nil"/>
            </w:tcBorders>
            <w:shd w:val="clear" w:color="auto" w:fill="auto"/>
            <w:noWrap/>
            <w:vAlign w:val="bottom"/>
            <w:hideMark/>
          </w:tcPr>
          <w:p w:rsidR="00544587" w:rsidRPr="00544587" w:rsidRDefault="00532660" w:rsidP="000D4BF4">
            <w:pPr>
              <w:overflowPunct/>
              <w:autoSpaceDE/>
              <w:autoSpaceDN/>
              <w:adjustRightInd/>
              <w:textAlignment w:val="auto"/>
              <w:rPr>
                <w:color w:val="000000"/>
              </w:rPr>
            </w:pPr>
            <w:r>
              <w:rPr>
                <w:color w:val="000000"/>
              </w:rPr>
              <w:t>(</w:t>
            </w:r>
            <w:r w:rsidR="00544587" w:rsidRPr="00544587">
              <w:rPr>
                <w:color w:val="000000"/>
              </w:rPr>
              <w:t>2.3</w:t>
            </w:r>
            <w:r>
              <w:rPr>
                <w:color w:val="000000"/>
              </w:rPr>
              <w:t>)</w:t>
            </w:r>
          </w:p>
        </w:tc>
        <w:tc>
          <w:tcPr>
            <w:tcW w:w="0" w:type="auto"/>
            <w:tcBorders>
              <w:top w:val="nil"/>
              <w:left w:val="nil"/>
              <w:bottom w:val="nil"/>
              <w:right w:val="nil"/>
            </w:tcBorders>
            <w:shd w:val="clear" w:color="auto" w:fill="auto"/>
            <w:noWrap/>
            <w:vAlign w:val="bottom"/>
            <w:hideMark/>
          </w:tcPr>
          <w:p w:rsidR="00544587" w:rsidRPr="00544587" w:rsidRDefault="00544587" w:rsidP="00532660">
            <w:pPr>
              <w:overflowPunct/>
              <w:autoSpaceDE/>
              <w:autoSpaceDN/>
              <w:adjustRightInd/>
              <w:ind w:right="-49"/>
              <w:jc w:val="right"/>
              <w:textAlignment w:val="auto"/>
              <w:rPr>
                <w:color w:val="000000"/>
              </w:rPr>
            </w:pPr>
            <w:r w:rsidRPr="00544587">
              <w:rPr>
                <w:color w:val="000000"/>
              </w:rPr>
              <w:t>0.623</w:t>
            </w:r>
          </w:p>
        </w:tc>
        <w:tc>
          <w:tcPr>
            <w:tcW w:w="0" w:type="auto"/>
            <w:tcBorders>
              <w:top w:val="nil"/>
              <w:left w:val="nil"/>
              <w:bottom w:val="nil"/>
              <w:right w:val="nil"/>
            </w:tcBorders>
            <w:shd w:val="clear" w:color="auto" w:fill="auto"/>
            <w:noWrap/>
            <w:vAlign w:val="bottom"/>
            <w:hideMark/>
          </w:tcPr>
          <w:p w:rsidR="00544587" w:rsidRPr="00544587" w:rsidRDefault="00544587" w:rsidP="00532660">
            <w:pPr>
              <w:overflowPunct/>
              <w:autoSpaceDE/>
              <w:autoSpaceDN/>
              <w:adjustRightInd/>
              <w:ind w:left="-94"/>
              <w:textAlignment w:val="auto"/>
              <w:rPr>
                <w:color w:val="000000"/>
              </w:rPr>
            </w:pPr>
            <w:r w:rsidRPr="00544587">
              <w:rPr>
                <w:color w:val="000000"/>
                <w:vertAlign w:val="superscript"/>
              </w:rPr>
              <w:t>***</w:t>
            </w:r>
          </w:p>
        </w:tc>
        <w:tc>
          <w:tcPr>
            <w:tcW w:w="0" w:type="auto"/>
            <w:tcBorders>
              <w:top w:val="nil"/>
              <w:left w:val="nil"/>
              <w:bottom w:val="nil"/>
              <w:right w:val="nil"/>
            </w:tcBorders>
            <w:shd w:val="clear" w:color="auto" w:fill="auto"/>
            <w:noWrap/>
            <w:vAlign w:val="bottom"/>
            <w:hideMark/>
          </w:tcPr>
          <w:p w:rsidR="00544587" w:rsidRPr="00544587" w:rsidRDefault="00532660" w:rsidP="000D4BF4">
            <w:pPr>
              <w:overflowPunct/>
              <w:autoSpaceDE/>
              <w:autoSpaceDN/>
              <w:adjustRightInd/>
              <w:textAlignment w:val="auto"/>
              <w:rPr>
                <w:color w:val="000000"/>
              </w:rPr>
            </w:pPr>
            <w:r>
              <w:rPr>
                <w:color w:val="000000"/>
              </w:rPr>
              <w:t>(</w:t>
            </w:r>
            <w:r w:rsidR="00544587" w:rsidRPr="00544587">
              <w:rPr>
                <w:color w:val="000000"/>
              </w:rPr>
              <w:t>8.1</w:t>
            </w:r>
            <w:r>
              <w:rPr>
                <w:color w:val="000000"/>
              </w:rPr>
              <w:t>)</w:t>
            </w:r>
          </w:p>
        </w:tc>
      </w:tr>
      <w:tr w:rsidR="00F85A66" w:rsidRPr="00544587" w:rsidTr="00157EC7">
        <w:trPr>
          <w:trHeight w:val="20"/>
        </w:trPr>
        <w:tc>
          <w:tcPr>
            <w:tcW w:w="0" w:type="auto"/>
            <w:tcBorders>
              <w:top w:val="nil"/>
              <w:left w:val="nil"/>
              <w:bottom w:val="nil"/>
              <w:right w:val="nil"/>
            </w:tcBorders>
            <w:shd w:val="clear" w:color="auto" w:fill="auto"/>
            <w:noWrap/>
            <w:vAlign w:val="bottom"/>
            <w:hideMark/>
          </w:tcPr>
          <w:p w:rsidR="00544587" w:rsidRPr="00544587" w:rsidRDefault="00544587" w:rsidP="00544587">
            <w:pPr>
              <w:overflowPunct/>
              <w:autoSpaceDE/>
              <w:autoSpaceDN/>
              <w:adjustRightInd/>
              <w:textAlignment w:val="auto"/>
              <w:rPr>
                <w:color w:val="000000"/>
              </w:rPr>
            </w:pPr>
            <w:r w:rsidRPr="00544587">
              <w:rPr>
                <w:color w:val="000000"/>
              </w:rPr>
              <w:t>Volume</w:t>
            </w:r>
            <w:r w:rsidR="00F85A66" w:rsidRPr="00F85A66">
              <w:rPr>
                <w:color w:val="000000"/>
                <w:vertAlign w:val="subscript"/>
              </w:rPr>
              <w:t>t-1</w:t>
            </w:r>
          </w:p>
        </w:tc>
        <w:tc>
          <w:tcPr>
            <w:tcW w:w="0" w:type="auto"/>
            <w:tcBorders>
              <w:top w:val="nil"/>
              <w:left w:val="nil"/>
              <w:bottom w:val="nil"/>
              <w:right w:val="nil"/>
            </w:tcBorders>
            <w:shd w:val="clear" w:color="auto" w:fill="auto"/>
            <w:noWrap/>
            <w:vAlign w:val="bottom"/>
            <w:hideMark/>
          </w:tcPr>
          <w:p w:rsidR="00544587" w:rsidRPr="00544587" w:rsidRDefault="00544587" w:rsidP="00532660">
            <w:pPr>
              <w:overflowPunct/>
              <w:autoSpaceDE/>
              <w:autoSpaceDN/>
              <w:adjustRightInd/>
              <w:ind w:right="-91"/>
              <w:jc w:val="right"/>
              <w:textAlignment w:val="auto"/>
              <w:rPr>
                <w:color w:val="000000"/>
              </w:rPr>
            </w:pPr>
            <w:r w:rsidRPr="00544587">
              <w:rPr>
                <w:color w:val="000000"/>
              </w:rPr>
              <w:t>-0.017</w:t>
            </w:r>
          </w:p>
        </w:tc>
        <w:tc>
          <w:tcPr>
            <w:tcW w:w="0" w:type="auto"/>
            <w:tcBorders>
              <w:top w:val="nil"/>
              <w:left w:val="nil"/>
              <w:bottom w:val="nil"/>
              <w:right w:val="nil"/>
            </w:tcBorders>
            <w:shd w:val="clear" w:color="auto" w:fill="auto"/>
            <w:noWrap/>
            <w:vAlign w:val="bottom"/>
            <w:hideMark/>
          </w:tcPr>
          <w:p w:rsidR="00544587" w:rsidRPr="00544587" w:rsidRDefault="00544587" w:rsidP="00532660">
            <w:pPr>
              <w:overflowPunct/>
              <w:autoSpaceDE/>
              <w:autoSpaceDN/>
              <w:adjustRightInd/>
              <w:ind w:left="-109"/>
              <w:textAlignment w:val="auto"/>
              <w:rPr>
                <w:color w:val="000000"/>
              </w:rPr>
            </w:pPr>
          </w:p>
        </w:tc>
        <w:tc>
          <w:tcPr>
            <w:tcW w:w="0" w:type="auto"/>
            <w:tcBorders>
              <w:top w:val="nil"/>
              <w:left w:val="nil"/>
              <w:bottom w:val="nil"/>
              <w:right w:val="nil"/>
            </w:tcBorders>
            <w:shd w:val="clear" w:color="auto" w:fill="auto"/>
            <w:noWrap/>
            <w:vAlign w:val="bottom"/>
            <w:hideMark/>
          </w:tcPr>
          <w:p w:rsidR="00544587" w:rsidRPr="00544587" w:rsidRDefault="00532660" w:rsidP="000D4BF4">
            <w:pPr>
              <w:overflowPunct/>
              <w:autoSpaceDE/>
              <w:autoSpaceDN/>
              <w:adjustRightInd/>
              <w:textAlignment w:val="auto"/>
              <w:rPr>
                <w:color w:val="000000"/>
              </w:rPr>
            </w:pPr>
            <w:r>
              <w:rPr>
                <w:color w:val="000000"/>
              </w:rPr>
              <w:t>(</w:t>
            </w:r>
            <w:r w:rsidR="00544587" w:rsidRPr="00544587">
              <w:rPr>
                <w:color w:val="000000"/>
              </w:rPr>
              <w:t>-0.9</w:t>
            </w:r>
            <w:r>
              <w:rPr>
                <w:color w:val="000000"/>
              </w:rPr>
              <w:t>)</w:t>
            </w:r>
          </w:p>
        </w:tc>
        <w:tc>
          <w:tcPr>
            <w:tcW w:w="0" w:type="auto"/>
            <w:tcBorders>
              <w:top w:val="nil"/>
              <w:left w:val="nil"/>
              <w:bottom w:val="nil"/>
              <w:right w:val="nil"/>
            </w:tcBorders>
            <w:shd w:val="clear" w:color="auto" w:fill="auto"/>
            <w:noWrap/>
            <w:vAlign w:val="bottom"/>
            <w:hideMark/>
          </w:tcPr>
          <w:p w:rsidR="00544587" w:rsidRPr="00544587" w:rsidRDefault="00544587" w:rsidP="00532660">
            <w:pPr>
              <w:overflowPunct/>
              <w:autoSpaceDE/>
              <w:autoSpaceDN/>
              <w:adjustRightInd/>
              <w:ind w:right="-119"/>
              <w:jc w:val="right"/>
              <w:textAlignment w:val="auto"/>
              <w:rPr>
                <w:color w:val="000000"/>
              </w:rPr>
            </w:pPr>
            <w:r w:rsidRPr="00544587">
              <w:rPr>
                <w:color w:val="000000"/>
              </w:rPr>
              <w:t>-0.048</w:t>
            </w:r>
          </w:p>
        </w:tc>
        <w:tc>
          <w:tcPr>
            <w:tcW w:w="0" w:type="auto"/>
            <w:tcBorders>
              <w:top w:val="nil"/>
              <w:left w:val="nil"/>
              <w:bottom w:val="nil"/>
              <w:right w:val="nil"/>
            </w:tcBorders>
            <w:shd w:val="clear" w:color="auto" w:fill="auto"/>
            <w:noWrap/>
            <w:vAlign w:val="bottom"/>
            <w:hideMark/>
          </w:tcPr>
          <w:p w:rsidR="00544587" w:rsidRPr="00544587" w:rsidRDefault="00544587" w:rsidP="00532660">
            <w:pPr>
              <w:overflowPunct/>
              <w:autoSpaceDE/>
              <w:autoSpaceDN/>
              <w:adjustRightInd/>
              <w:ind w:left="-94"/>
              <w:textAlignment w:val="auto"/>
              <w:rPr>
                <w:color w:val="000000"/>
              </w:rPr>
            </w:pPr>
          </w:p>
        </w:tc>
        <w:tc>
          <w:tcPr>
            <w:tcW w:w="880" w:type="dxa"/>
            <w:tcBorders>
              <w:top w:val="nil"/>
              <w:left w:val="nil"/>
              <w:bottom w:val="nil"/>
              <w:right w:val="nil"/>
            </w:tcBorders>
            <w:shd w:val="clear" w:color="auto" w:fill="auto"/>
            <w:noWrap/>
            <w:vAlign w:val="bottom"/>
            <w:hideMark/>
          </w:tcPr>
          <w:p w:rsidR="00544587" w:rsidRPr="00544587" w:rsidRDefault="00532660" w:rsidP="000D4BF4">
            <w:pPr>
              <w:overflowPunct/>
              <w:autoSpaceDE/>
              <w:autoSpaceDN/>
              <w:adjustRightInd/>
              <w:textAlignment w:val="auto"/>
              <w:rPr>
                <w:color w:val="000000"/>
              </w:rPr>
            </w:pPr>
            <w:r>
              <w:rPr>
                <w:color w:val="000000"/>
              </w:rPr>
              <w:t>(</w:t>
            </w:r>
            <w:r w:rsidR="00544587" w:rsidRPr="00544587">
              <w:rPr>
                <w:color w:val="000000"/>
              </w:rPr>
              <w:t>-1.0</w:t>
            </w:r>
            <w:r>
              <w:rPr>
                <w:color w:val="000000"/>
              </w:rPr>
              <w:t>)</w:t>
            </w:r>
          </w:p>
        </w:tc>
        <w:tc>
          <w:tcPr>
            <w:tcW w:w="0" w:type="auto"/>
            <w:tcBorders>
              <w:top w:val="nil"/>
              <w:left w:val="nil"/>
              <w:bottom w:val="nil"/>
              <w:right w:val="nil"/>
            </w:tcBorders>
            <w:shd w:val="clear" w:color="auto" w:fill="auto"/>
            <w:noWrap/>
            <w:vAlign w:val="bottom"/>
            <w:hideMark/>
          </w:tcPr>
          <w:p w:rsidR="00544587" w:rsidRPr="00544587" w:rsidRDefault="00544587" w:rsidP="00532660">
            <w:pPr>
              <w:overflowPunct/>
              <w:autoSpaceDE/>
              <w:autoSpaceDN/>
              <w:adjustRightInd/>
              <w:ind w:right="-53"/>
              <w:jc w:val="right"/>
              <w:textAlignment w:val="auto"/>
              <w:rPr>
                <w:color w:val="000000"/>
              </w:rPr>
            </w:pPr>
            <w:r w:rsidRPr="00544587">
              <w:rPr>
                <w:color w:val="000000"/>
              </w:rPr>
              <w:t>0.339</w:t>
            </w:r>
          </w:p>
        </w:tc>
        <w:tc>
          <w:tcPr>
            <w:tcW w:w="0" w:type="auto"/>
            <w:tcBorders>
              <w:top w:val="nil"/>
              <w:left w:val="nil"/>
              <w:bottom w:val="nil"/>
              <w:right w:val="nil"/>
            </w:tcBorders>
            <w:shd w:val="clear" w:color="auto" w:fill="auto"/>
            <w:noWrap/>
            <w:vAlign w:val="bottom"/>
            <w:hideMark/>
          </w:tcPr>
          <w:p w:rsidR="00544587" w:rsidRPr="00544587" w:rsidRDefault="00544587" w:rsidP="00532660">
            <w:pPr>
              <w:overflowPunct/>
              <w:autoSpaceDE/>
              <w:autoSpaceDN/>
              <w:adjustRightInd/>
              <w:ind w:left="-40"/>
              <w:textAlignment w:val="auto"/>
              <w:rPr>
                <w:color w:val="000000"/>
              </w:rPr>
            </w:pPr>
            <w:r w:rsidRPr="00544587">
              <w:rPr>
                <w:color w:val="000000"/>
                <w:vertAlign w:val="superscript"/>
              </w:rPr>
              <w:t>***</w:t>
            </w:r>
          </w:p>
        </w:tc>
        <w:tc>
          <w:tcPr>
            <w:tcW w:w="0" w:type="auto"/>
            <w:tcBorders>
              <w:top w:val="nil"/>
              <w:left w:val="nil"/>
              <w:bottom w:val="nil"/>
              <w:right w:val="nil"/>
            </w:tcBorders>
            <w:shd w:val="clear" w:color="auto" w:fill="auto"/>
            <w:noWrap/>
            <w:vAlign w:val="bottom"/>
            <w:hideMark/>
          </w:tcPr>
          <w:p w:rsidR="00544587" w:rsidRPr="00544587" w:rsidRDefault="00532660" w:rsidP="000D4BF4">
            <w:pPr>
              <w:overflowPunct/>
              <w:autoSpaceDE/>
              <w:autoSpaceDN/>
              <w:adjustRightInd/>
              <w:textAlignment w:val="auto"/>
              <w:rPr>
                <w:color w:val="000000"/>
              </w:rPr>
            </w:pPr>
            <w:r>
              <w:rPr>
                <w:color w:val="000000"/>
              </w:rPr>
              <w:t>(</w:t>
            </w:r>
            <w:r w:rsidR="00544587" w:rsidRPr="00544587">
              <w:rPr>
                <w:color w:val="000000"/>
              </w:rPr>
              <w:t>3.4</w:t>
            </w:r>
            <w:r>
              <w:rPr>
                <w:color w:val="000000"/>
              </w:rPr>
              <w:t>)</w:t>
            </w:r>
          </w:p>
        </w:tc>
        <w:tc>
          <w:tcPr>
            <w:tcW w:w="0" w:type="auto"/>
            <w:tcBorders>
              <w:top w:val="nil"/>
              <w:left w:val="nil"/>
              <w:bottom w:val="nil"/>
              <w:right w:val="nil"/>
            </w:tcBorders>
            <w:shd w:val="clear" w:color="auto" w:fill="auto"/>
            <w:noWrap/>
            <w:vAlign w:val="bottom"/>
            <w:hideMark/>
          </w:tcPr>
          <w:p w:rsidR="00544587" w:rsidRPr="00544587" w:rsidRDefault="00544587" w:rsidP="00532660">
            <w:pPr>
              <w:overflowPunct/>
              <w:autoSpaceDE/>
              <w:autoSpaceDN/>
              <w:adjustRightInd/>
              <w:ind w:right="-49"/>
              <w:jc w:val="right"/>
              <w:textAlignment w:val="auto"/>
              <w:rPr>
                <w:color w:val="000000"/>
              </w:rPr>
            </w:pPr>
            <w:r w:rsidRPr="00544587">
              <w:rPr>
                <w:color w:val="000000"/>
              </w:rPr>
              <w:t>0.081</w:t>
            </w:r>
          </w:p>
        </w:tc>
        <w:tc>
          <w:tcPr>
            <w:tcW w:w="0" w:type="auto"/>
            <w:tcBorders>
              <w:top w:val="nil"/>
              <w:left w:val="nil"/>
              <w:bottom w:val="nil"/>
              <w:right w:val="nil"/>
            </w:tcBorders>
            <w:shd w:val="clear" w:color="auto" w:fill="auto"/>
            <w:noWrap/>
            <w:vAlign w:val="bottom"/>
            <w:hideMark/>
          </w:tcPr>
          <w:p w:rsidR="00544587" w:rsidRPr="00544587" w:rsidRDefault="00544587" w:rsidP="00532660">
            <w:pPr>
              <w:overflowPunct/>
              <w:autoSpaceDE/>
              <w:autoSpaceDN/>
              <w:adjustRightInd/>
              <w:ind w:left="-94"/>
              <w:textAlignment w:val="auto"/>
              <w:rPr>
                <w:color w:val="000000"/>
              </w:rPr>
            </w:pPr>
          </w:p>
        </w:tc>
        <w:tc>
          <w:tcPr>
            <w:tcW w:w="0" w:type="auto"/>
            <w:tcBorders>
              <w:top w:val="nil"/>
              <w:left w:val="nil"/>
              <w:bottom w:val="nil"/>
              <w:right w:val="nil"/>
            </w:tcBorders>
            <w:shd w:val="clear" w:color="auto" w:fill="auto"/>
            <w:noWrap/>
            <w:vAlign w:val="bottom"/>
            <w:hideMark/>
          </w:tcPr>
          <w:p w:rsidR="00544587" w:rsidRPr="00544587" w:rsidRDefault="00532660" w:rsidP="000D4BF4">
            <w:pPr>
              <w:overflowPunct/>
              <w:autoSpaceDE/>
              <w:autoSpaceDN/>
              <w:adjustRightInd/>
              <w:textAlignment w:val="auto"/>
              <w:rPr>
                <w:color w:val="000000"/>
              </w:rPr>
            </w:pPr>
            <w:r>
              <w:rPr>
                <w:color w:val="000000"/>
              </w:rPr>
              <w:t>(</w:t>
            </w:r>
            <w:r w:rsidR="00544587" w:rsidRPr="00544587">
              <w:rPr>
                <w:color w:val="000000"/>
              </w:rPr>
              <w:t>1.2</w:t>
            </w:r>
            <w:r>
              <w:rPr>
                <w:color w:val="000000"/>
              </w:rPr>
              <w:t>)</w:t>
            </w:r>
          </w:p>
        </w:tc>
      </w:tr>
      <w:tr w:rsidR="00F85A66" w:rsidRPr="00544587" w:rsidTr="00157EC7">
        <w:trPr>
          <w:trHeight w:val="20"/>
        </w:trPr>
        <w:tc>
          <w:tcPr>
            <w:tcW w:w="0" w:type="auto"/>
            <w:tcBorders>
              <w:top w:val="nil"/>
              <w:left w:val="nil"/>
              <w:bottom w:val="single" w:sz="12" w:space="0" w:color="auto"/>
              <w:right w:val="nil"/>
            </w:tcBorders>
            <w:shd w:val="clear" w:color="auto" w:fill="auto"/>
            <w:noWrap/>
            <w:vAlign w:val="bottom"/>
            <w:hideMark/>
          </w:tcPr>
          <w:p w:rsidR="00544587" w:rsidRPr="00544587" w:rsidRDefault="00544587" w:rsidP="008E082E">
            <w:pPr>
              <w:overflowPunct/>
              <w:autoSpaceDE/>
              <w:autoSpaceDN/>
              <w:adjustRightInd/>
              <w:spacing w:after="60"/>
              <w:textAlignment w:val="auto"/>
              <w:rPr>
                <w:color w:val="000000"/>
              </w:rPr>
            </w:pPr>
            <w:r w:rsidRPr="00544587">
              <w:rPr>
                <w:color w:val="000000"/>
              </w:rPr>
              <w:t xml:space="preserve">CRE </w:t>
            </w:r>
            <w:r w:rsidR="008E082E">
              <w:rPr>
                <w:color w:val="000000"/>
              </w:rPr>
              <w:t>T</w:t>
            </w:r>
            <w:r w:rsidRPr="00544587">
              <w:rPr>
                <w:color w:val="000000"/>
              </w:rPr>
              <w:t>ightening</w:t>
            </w:r>
            <w:r w:rsidR="00F85A66" w:rsidRPr="00F85A66">
              <w:rPr>
                <w:color w:val="000000"/>
                <w:vertAlign w:val="subscript"/>
              </w:rPr>
              <w:t>t-1</w:t>
            </w:r>
          </w:p>
        </w:tc>
        <w:tc>
          <w:tcPr>
            <w:tcW w:w="0" w:type="auto"/>
            <w:tcBorders>
              <w:top w:val="nil"/>
              <w:left w:val="nil"/>
              <w:bottom w:val="single" w:sz="12" w:space="0" w:color="auto"/>
              <w:right w:val="nil"/>
            </w:tcBorders>
            <w:shd w:val="clear" w:color="auto" w:fill="auto"/>
            <w:noWrap/>
            <w:vAlign w:val="bottom"/>
            <w:hideMark/>
          </w:tcPr>
          <w:p w:rsidR="00544587" w:rsidRPr="00544587" w:rsidRDefault="00544587" w:rsidP="00532660">
            <w:pPr>
              <w:overflowPunct/>
              <w:autoSpaceDE/>
              <w:autoSpaceDN/>
              <w:adjustRightInd/>
              <w:spacing w:after="60"/>
              <w:ind w:right="-91"/>
              <w:jc w:val="right"/>
              <w:textAlignment w:val="auto"/>
              <w:rPr>
                <w:color w:val="000000"/>
              </w:rPr>
            </w:pPr>
            <w:r w:rsidRPr="00544587">
              <w:rPr>
                <w:color w:val="000000"/>
              </w:rPr>
              <w:t>-0.022</w:t>
            </w:r>
          </w:p>
        </w:tc>
        <w:tc>
          <w:tcPr>
            <w:tcW w:w="0" w:type="auto"/>
            <w:tcBorders>
              <w:top w:val="nil"/>
              <w:left w:val="nil"/>
              <w:bottom w:val="single" w:sz="12" w:space="0" w:color="auto"/>
              <w:right w:val="nil"/>
            </w:tcBorders>
            <w:shd w:val="clear" w:color="auto" w:fill="auto"/>
            <w:noWrap/>
            <w:vAlign w:val="bottom"/>
            <w:hideMark/>
          </w:tcPr>
          <w:p w:rsidR="00544587" w:rsidRPr="00544587" w:rsidRDefault="00544587" w:rsidP="00532660">
            <w:pPr>
              <w:overflowPunct/>
              <w:autoSpaceDE/>
              <w:autoSpaceDN/>
              <w:adjustRightInd/>
              <w:spacing w:after="60"/>
              <w:ind w:left="-109"/>
              <w:textAlignment w:val="auto"/>
              <w:rPr>
                <w:color w:val="000000"/>
              </w:rPr>
            </w:pPr>
          </w:p>
        </w:tc>
        <w:tc>
          <w:tcPr>
            <w:tcW w:w="0" w:type="auto"/>
            <w:tcBorders>
              <w:top w:val="nil"/>
              <w:left w:val="nil"/>
              <w:bottom w:val="single" w:sz="12" w:space="0" w:color="auto"/>
              <w:right w:val="nil"/>
            </w:tcBorders>
            <w:shd w:val="clear" w:color="auto" w:fill="auto"/>
            <w:noWrap/>
            <w:vAlign w:val="bottom"/>
            <w:hideMark/>
          </w:tcPr>
          <w:p w:rsidR="00544587" w:rsidRPr="00544587" w:rsidRDefault="00532660" w:rsidP="000D4BF4">
            <w:pPr>
              <w:overflowPunct/>
              <w:autoSpaceDE/>
              <w:autoSpaceDN/>
              <w:adjustRightInd/>
              <w:spacing w:after="60"/>
              <w:textAlignment w:val="auto"/>
              <w:rPr>
                <w:color w:val="000000"/>
              </w:rPr>
            </w:pPr>
            <w:r>
              <w:rPr>
                <w:color w:val="000000"/>
              </w:rPr>
              <w:t>(</w:t>
            </w:r>
            <w:r w:rsidR="00544587" w:rsidRPr="00544587">
              <w:rPr>
                <w:color w:val="000000"/>
              </w:rPr>
              <w:t>-1.2</w:t>
            </w:r>
            <w:r>
              <w:rPr>
                <w:color w:val="000000"/>
              </w:rPr>
              <w:t>)</w:t>
            </w:r>
          </w:p>
        </w:tc>
        <w:tc>
          <w:tcPr>
            <w:tcW w:w="0" w:type="auto"/>
            <w:tcBorders>
              <w:top w:val="nil"/>
              <w:left w:val="nil"/>
              <w:bottom w:val="single" w:sz="12" w:space="0" w:color="auto"/>
              <w:right w:val="nil"/>
            </w:tcBorders>
            <w:shd w:val="clear" w:color="auto" w:fill="auto"/>
            <w:noWrap/>
            <w:vAlign w:val="bottom"/>
            <w:hideMark/>
          </w:tcPr>
          <w:p w:rsidR="00544587" w:rsidRPr="00544587" w:rsidRDefault="00544587" w:rsidP="00532660">
            <w:pPr>
              <w:overflowPunct/>
              <w:autoSpaceDE/>
              <w:autoSpaceDN/>
              <w:adjustRightInd/>
              <w:spacing w:after="60"/>
              <w:ind w:right="-119"/>
              <w:jc w:val="right"/>
              <w:textAlignment w:val="auto"/>
              <w:rPr>
                <w:color w:val="000000"/>
              </w:rPr>
            </w:pPr>
            <w:r w:rsidRPr="00544587">
              <w:rPr>
                <w:color w:val="000000"/>
              </w:rPr>
              <w:t>0.958</w:t>
            </w:r>
          </w:p>
        </w:tc>
        <w:tc>
          <w:tcPr>
            <w:tcW w:w="0" w:type="auto"/>
            <w:tcBorders>
              <w:top w:val="nil"/>
              <w:left w:val="nil"/>
              <w:bottom w:val="single" w:sz="12" w:space="0" w:color="auto"/>
              <w:right w:val="nil"/>
            </w:tcBorders>
            <w:shd w:val="clear" w:color="auto" w:fill="auto"/>
            <w:noWrap/>
            <w:vAlign w:val="bottom"/>
            <w:hideMark/>
          </w:tcPr>
          <w:p w:rsidR="00544587" w:rsidRPr="00544587" w:rsidRDefault="00544587" w:rsidP="00532660">
            <w:pPr>
              <w:overflowPunct/>
              <w:autoSpaceDE/>
              <w:autoSpaceDN/>
              <w:adjustRightInd/>
              <w:spacing w:after="60"/>
              <w:ind w:left="-94"/>
              <w:textAlignment w:val="auto"/>
              <w:rPr>
                <w:color w:val="000000"/>
              </w:rPr>
            </w:pPr>
            <w:r w:rsidRPr="00544587">
              <w:rPr>
                <w:color w:val="000000"/>
                <w:vertAlign w:val="superscript"/>
              </w:rPr>
              <w:t>***</w:t>
            </w:r>
          </w:p>
        </w:tc>
        <w:tc>
          <w:tcPr>
            <w:tcW w:w="880" w:type="dxa"/>
            <w:tcBorders>
              <w:top w:val="nil"/>
              <w:left w:val="nil"/>
              <w:bottom w:val="single" w:sz="12" w:space="0" w:color="auto"/>
              <w:right w:val="nil"/>
            </w:tcBorders>
            <w:shd w:val="clear" w:color="auto" w:fill="auto"/>
            <w:noWrap/>
            <w:vAlign w:val="bottom"/>
            <w:hideMark/>
          </w:tcPr>
          <w:p w:rsidR="00544587" w:rsidRPr="00544587" w:rsidRDefault="00532660" w:rsidP="000D4BF4">
            <w:pPr>
              <w:overflowPunct/>
              <w:autoSpaceDE/>
              <w:autoSpaceDN/>
              <w:adjustRightInd/>
              <w:spacing w:after="60"/>
              <w:textAlignment w:val="auto"/>
              <w:rPr>
                <w:color w:val="000000"/>
              </w:rPr>
            </w:pPr>
            <w:r>
              <w:rPr>
                <w:color w:val="000000"/>
              </w:rPr>
              <w:t>(</w:t>
            </w:r>
            <w:r w:rsidR="00544587" w:rsidRPr="00544587">
              <w:rPr>
                <w:color w:val="000000"/>
              </w:rPr>
              <w:t>20.4</w:t>
            </w:r>
            <w:r>
              <w:rPr>
                <w:color w:val="000000"/>
              </w:rPr>
              <w:t>)</w:t>
            </w:r>
          </w:p>
        </w:tc>
        <w:tc>
          <w:tcPr>
            <w:tcW w:w="0" w:type="auto"/>
            <w:tcBorders>
              <w:top w:val="nil"/>
              <w:left w:val="nil"/>
              <w:bottom w:val="single" w:sz="12" w:space="0" w:color="auto"/>
              <w:right w:val="nil"/>
            </w:tcBorders>
            <w:shd w:val="clear" w:color="auto" w:fill="auto"/>
            <w:noWrap/>
            <w:vAlign w:val="bottom"/>
            <w:hideMark/>
          </w:tcPr>
          <w:p w:rsidR="00544587" w:rsidRPr="00544587" w:rsidRDefault="00544587" w:rsidP="00532660">
            <w:pPr>
              <w:overflowPunct/>
              <w:autoSpaceDE/>
              <w:autoSpaceDN/>
              <w:adjustRightInd/>
              <w:spacing w:after="60"/>
              <w:ind w:right="-53"/>
              <w:jc w:val="right"/>
              <w:textAlignment w:val="auto"/>
              <w:rPr>
                <w:color w:val="000000"/>
              </w:rPr>
            </w:pPr>
            <w:r w:rsidRPr="00544587">
              <w:rPr>
                <w:color w:val="000000"/>
              </w:rPr>
              <w:t>-0.129</w:t>
            </w:r>
          </w:p>
        </w:tc>
        <w:tc>
          <w:tcPr>
            <w:tcW w:w="0" w:type="auto"/>
            <w:tcBorders>
              <w:top w:val="nil"/>
              <w:left w:val="nil"/>
              <w:bottom w:val="single" w:sz="12" w:space="0" w:color="auto"/>
              <w:right w:val="nil"/>
            </w:tcBorders>
            <w:shd w:val="clear" w:color="auto" w:fill="auto"/>
            <w:noWrap/>
            <w:vAlign w:val="bottom"/>
            <w:hideMark/>
          </w:tcPr>
          <w:p w:rsidR="00544587" w:rsidRPr="00544587" w:rsidRDefault="00544587" w:rsidP="00532660">
            <w:pPr>
              <w:overflowPunct/>
              <w:autoSpaceDE/>
              <w:autoSpaceDN/>
              <w:adjustRightInd/>
              <w:spacing w:after="60"/>
              <w:ind w:left="-40"/>
              <w:textAlignment w:val="auto"/>
              <w:rPr>
                <w:color w:val="000000"/>
              </w:rPr>
            </w:pPr>
          </w:p>
        </w:tc>
        <w:tc>
          <w:tcPr>
            <w:tcW w:w="0" w:type="auto"/>
            <w:tcBorders>
              <w:top w:val="nil"/>
              <w:left w:val="nil"/>
              <w:bottom w:val="single" w:sz="12" w:space="0" w:color="auto"/>
              <w:right w:val="nil"/>
            </w:tcBorders>
            <w:shd w:val="clear" w:color="auto" w:fill="auto"/>
            <w:noWrap/>
            <w:vAlign w:val="bottom"/>
            <w:hideMark/>
          </w:tcPr>
          <w:p w:rsidR="00544587" w:rsidRPr="00544587" w:rsidRDefault="00532660" w:rsidP="000D4BF4">
            <w:pPr>
              <w:overflowPunct/>
              <w:autoSpaceDE/>
              <w:autoSpaceDN/>
              <w:adjustRightInd/>
              <w:spacing w:after="60"/>
              <w:textAlignment w:val="auto"/>
              <w:rPr>
                <w:color w:val="000000"/>
              </w:rPr>
            </w:pPr>
            <w:r>
              <w:rPr>
                <w:color w:val="000000"/>
              </w:rPr>
              <w:t>(</w:t>
            </w:r>
            <w:r w:rsidR="00544587" w:rsidRPr="00544587">
              <w:rPr>
                <w:color w:val="000000"/>
              </w:rPr>
              <w:t>-1.3</w:t>
            </w:r>
            <w:r>
              <w:rPr>
                <w:color w:val="000000"/>
              </w:rPr>
              <w:t>)</w:t>
            </w:r>
          </w:p>
        </w:tc>
        <w:tc>
          <w:tcPr>
            <w:tcW w:w="0" w:type="auto"/>
            <w:tcBorders>
              <w:top w:val="nil"/>
              <w:left w:val="nil"/>
              <w:bottom w:val="single" w:sz="12" w:space="0" w:color="auto"/>
              <w:right w:val="nil"/>
            </w:tcBorders>
            <w:shd w:val="clear" w:color="auto" w:fill="auto"/>
            <w:noWrap/>
            <w:vAlign w:val="bottom"/>
            <w:hideMark/>
          </w:tcPr>
          <w:p w:rsidR="00544587" w:rsidRPr="00544587" w:rsidRDefault="00544587" w:rsidP="00532660">
            <w:pPr>
              <w:overflowPunct/>
              <w:autoSpaceDE/>
              <w:autoSpaceDN/>
              <w:adjustRightInd/>
              <w:spacing w:after="60"/>
              <w:ind w:right="-49"/>
              <w:jc w:val="right"/>
              <w:textAlignment w:val="auto"/>
              <w:rPr>
                <w:color w:val="000000"/>
              </w:rPr>
            </w:pPr>
            <w:r w:rsidRPr="00544587">
              <w:rPr>
                <w:color w:val="000000"/>
              </w:rPr>
              <w:t>-0.268</w:t>
            </w:r>
          </w:p>
        </w:tc>
        <w:tc>
          <w:tcPr>
            <w:tcW w:w="0" w:type="auto"/>
            <w:tcBorders>
              <w:top w:val="nil"/>
              <w:left w:val="nil"/>
              <w:bottom w:val="single" w:sz="12" w:space="0" w:color="auto"/>
              <w:right w:val="nil"/>
            </w:tcBorders>
            <w:shd w:val="clear" w:color="auto" w:fill="auto"/>
            <w:noWrap/>
            <w:vAlign w:val="bottom"/>
            <w:hideMark/>
          </w:tcPr>
          <w:p w:rsidR="00544587" w:rsidRPr="00544587" w:rsidRDefault="00544587" w:rsidP="00532660">
            <w:pPr>
              <w:overflowPunct/>
              <w:autoSpaceDE/>
              <w:autoSpaceDN/>
              <w:adjustRightInd/>
              <w:spacing w:after="60"/>
              <w:ind w:left="-94"/>
              <w:textAlignment w:val="auto"/>
              <w:rPr>
                <w:color w:val="000000"/>
              </w:rPr>
            </w:pPr>
            <w:r w:rsidRPr="00544587">
              <w:rPr>
                <w:color w:val="000000"/>
                <w:vertAlign w:val="superscript"/>
              </w:rPr>
              <w:t>***</w:t>
            </w:r>
          </w:p>
        </w:tc>
        <w:tc>
          <w:tcPr>
            <w:tcW w:w="0" w:type="auto"/>
            <w:tcBorders>
              <w:top w:val="nil"/>
              <w:left w:val="nil"/>
              <w:bottom w:val="single" w:sz="12" w:space="0" w:color="auto"/>
              <w:right w:val="nil"/>
            </w:tcBorders>
            <w:shd w:val="clear" w:color="auto" w:fill="auto"/>
            <w:noWrap/>
            <w:vAlign w:val="bottom"/>
            <w:hideMark/>
          </w:tcPr>
          <w:p w:rsidR="00544587" w:rsidRPr="00544587" w:rsidRDefault="00532660" w:rsidP="000D4BF4">
            <w:pPr>
              <w:overflowPunct/>
              <w:autoSpaceDE/>
              <w:autoSpaceDN/>
              <w:adjustRightInd/>
              <w:spacing w:after="60"/>
              <w:textAlignment w:val="auto"/>
              <w:rPr>
                <w:color w:val="000000"/>
              </w:rPr>
            </w:pPr>
            <w:r>
              <w:rPr>
                <w:color w:val="000000"/>
              </w:rPr>
              <w:t>(</w:t>
            </w:r>
            <w:r w:rsidR="00544587" w:rsidRPr="00544587">
              <w:rPr>
                <w:color w:val="000000"/>
              </w:rPr>
              <w:t>-3.9</w:t>
            </w:r>
            <w:r>
              <w:rPr>
                <w:color w:val="000000"/>
              </w:rPr>
              <w:t>)</w:t>
            </w:r>
          </w:p>
        </w:tc>
      </w:tr>
      <w:tr w:rsidR="00544587" w:rsidRPr="00544587" w:rsidTr="00157EC7">
        <w:trPr>
          <w:trHeight w:val="20"/>
        </w:trPr>
        <w:tc>
          <w:tcPr>
            <w:tcW w:w="9002" w:type="dxa"/>
            <w:gridSpan w:val="13"/>
            <w:tcBorders>
              <w:top w:val="single" w:sz="12" w:space="0" w:color="auto"/>
              <w:left w:val="nil"/>
              <w:bottom w:val="nil"/>
              <w:right w:val="nil"/>
            </w:tcBorders>
            <w:shd w:val="clear" w:color="auto" w:fill="auto"/>
            <w:noWrap/>
            <w:vAlign w:val="bottom"/>
            <w:hideMark/>
          </w:tcPr>
          <w:p w:rsidR="00544587" w:rsidRPr="00544587" w:rsidRDefault="00544587" w:rsidP="00A17102">
            <w:pPr>
              <w:overflowPunct/>
              <w:autoSpaceDE/>
              <w:autoSpaceDN/>
              <w:adjustRightInd/>
              <w:spacing w:before="80"/>
              <w:textAlignment w:val="auto"/>
              <w:rPr>
                <w:color w:val="000000"/>
              </w:rPr>
            </w:pPr>
            <w:r w:rsidRPr="00544587">
              <w:rPr>
                <w:b/>
                <w:bCs/>
                <w:color w:val="000000"/>
              </w:rPr>
              <w:t xml:space="preserve">Panel B. </w:t>
            </w:r>
            <w:r w:rsidR="00A17102">
              <w:rPr>
                <w:color w:val="000000"/>
              </w:rPr>
              <w:t xml:space="preserve"> Four endogenous +</w:t>
            </w:r>
            <w:r w:rsidRPr="00544587">
              <w:rPr>
                <w:color w:val="000000"/>
              </w:rPr>
              <w:t xml:space="preserve"> exogenous </w:t>
            </w:r>
            <w:r w:rsidR="00A17102">
              <w:rPr>
                <w:color w:val="000000"/>
              </w:rPr>
              <w:t>controls</w:t>
            </w:r>
          </w:p>
        </w:tc>
      </w:tr>
      <w:tr w:rsidR="00544587" w:rsidRPr="00544587" w:rsidTr="00157EC7">
        <w:trPr>
          <w:trHeight w:val="20"/>
        </w:trPr>
        <w:tc>
          <w:tcPr>
            <w:tcW w:w="0" w:type="auto"/>
            <w:tcBorders>
              <w:top w:val="nil"/>
              <w:left w:val="nil"/>
              <w:bottom w:val="nil"/>
              <w:right w:val="nil"/>
            </w:tcBorders>
            <w:shd w:val="clear" w:color="auto" w:fill="auto"/>
            <w:noWrap/>
            <w:vAlign w:val="bottom"/>
            <w:hideMark/>
          </w:tcPr>
          <w:p w:rsidR="00544587" w:rsidRPr="00F85A66" w:rsidRDefault="00F85A66" w:rsidP="00544587">
            <w:pPr>
              <w:overflowPunct/>
              <w:autoSpaceDE/>
              <w:autoSpaceDN/>
              <w:adjustRightInd/>
              <w:jc w:val="right"/>
              <w:textAlignment w:val="auto"/>
              <w:rPr>
                <w:i/>
                <w:color w:val="000000"/>
              </w:rPr>
            </w:pPr>
            <w:r w:rsidRPr="00F85A66">
              <w:rPr>
                <w:i/>
                <w:color w:val="000000"/>
              </w:rPr>
              <w:t>Dependent:</w:t>
            </w:r>
          </w:p>
        </w:tc>
        <w:tc>
          <w:tcPr>
            <w:tcW w:w="0" w:type="auto"/>
            <w:gridSpan w:val="3"/>
            <w:tcBorders>
              <w:top w:val="nil"/>
              <w:left w:val="nil"/>
              <w:bottom w:val="nil"/>
              <w:right w:val="nil"/>
            </w:tcBorders>
            <w:shd w:val="clear" w:color="auto" w:fill="auto"/>
            <w:noWrap/>
            <w:vAlign w:val="bottom"/>
            <w:hideMark/>
          </w:tcPr>
          <w:p w:rsidR="00544587" w:rsidRPr="00544587" w:rsidRDefault="00544587" w:rsidP="008E082E">
            <w:pPr>
              <w:overflowPunct/>
              <w:autoSpaceDE/>
              <w:autoSpaceDN/>
              <w:adjustRightInd/>
              <w:jc w:val="center"/>
              <w:textAlignment w:val="auto"/>
              <w:rPr>
                <w:i/>
                <w:iCs/>
                <w:color w:val="000000"/>
              </w:rPr>
            </w:pPr>
            <w:r w:rsidRPr="00544587">
              <w:rPr>
                <w:i/>
                <w:iCs/>
                <w:color w:val="000000"/>
              </w:rPr>
              <w:t xml:space="preserve">Income </w:t>
            </w:r>
            <w:r w:rsidR="008E082E">
              <w:rPr>
                <w:i/>
                <w:iCs/>
                <w:color w:val="000000"/>
              </w:rPr>
              <w:t>R</w:t>
            </w:r>
            <w:r w:rsidRPr="00544587">
              <w:rPr>
                <w:i/>
                <w:iCs/>
                <w:color w:val="000000"/>
              </w:rPr>
              <w:t>eturn</w:t>
            </w:r>
            <w:r w:rsidR="008E082E">
              <w:rPr>
                <w:i/>
                <w:iCs/>
                <w:color w:val="000000"/>
              </w:rPr>
              <w:t>s</w:t>
            </w:r>
            <w:r w:rsidR="00F85A66" w:rsidRPr="00F85A66">
              <w:rPr>
                <w:i/>
                <w:iCs/>
                <w:color w:val="000000"/>
                <w:vertAlign w:val="subscript"/>
              </w:rPr>
              <w:t>t</w:t>
            </w:r>
          </w:p>
        </w:tc>
        <w:tc>
          <w:tcPr>
            <w:tcW w:w="1926" w:type="dxa"/>
            <w:gridSpan w:val="3"/>
            <w:tcBorders>
              <w:top w:val="nil"/>
              <w:left w:val="nil"/>
              <w:bottom w:val="nil"/>
              <w:right w:val="nil"/>
            </w:tcBorders>
            <w:shd w:val="clear" w:color="auto" w:fill="auto"/>
            <w:noWrap/>
            <w:vAlign w:val="bottom"/>
            <w:hideMark/>
          </w:tcPr>
          <w:p w:rsidR="00544587" w:rsidRPr="00544587" w:rsidRDefault="00544587" w:rsidP="008E082E">
            <w:pPr>
              <w:overflowPunct/>
              <w:autoSpaceDE/>
              <w:autoSpaceDN/>
              <w:adjustRightInd/>
              <w:jc w:val="center"/>
              <w:textAlignment w:val="auto"/>
              <w:rPr>
                <w:i/>
                <w:iCs/>
                <w:color w:val="000000"/>
              </w:rPr>
            </w:pPr>
            <w:r w:rsidRPr="00544587">
              <w:rPr>
                <w:i/>
                <w:iCs/>
                <w:color w:val="000000"/>
              </w:rPr>
              <w:t xml:space="preserve">CRE </w:t>
            </w:r>
            <w:r w:rsidR="008E082E">
              <w:rPr>
                <w:i/>
                <w:iCs/>
                <w:color w:val="000000"/>
              </w:rPr>
              <w:t>T</w:t>
            </w:r>
            <w:r w:rsidRPr="00544587">
              <w:rPr>
                <w:i/>
                <w:iCs/>
                <w:color w:val="000000"/>
              </w:rPr>
              <w:t>ightening</w:t>
            </w:r>
            <w:r w:rsidR="00F85A66" w:rsidRPr="00F85A66">
              <w:rPr>
                <w:i/>
                <w:iCs/>
                <w:color w:val="000000"/>
                <w:vertAlign w:val="subscript"/>
              </w:rPr>
              <w:t>t</w:t>
            </w:r>
          </w:p>
        </w:tc>
        <w:tc>
          <w:tcPr>
            <w:tcW w:w="0" w:type="auto"/>
            <w:gridSpan w:val="3"/>
            <w:tcBorders>
              <w:top w:val="nil"/>
              <w:left w:val="nil"/>
              <w:bottom w:val="nil"/>
              <w:right w:val="nil"/>
            </w:tcBorders>
            <w:shd w:val="clear" w:color="auto" w:fill="auto"/>
            <w:noWrap/>
            <w:vAlign w:val="bottom"/>
            <w:hideMark/>
          </w:tcPr>
          <w:p w:rsidR="00544587" w:rsidRPr="00544587" w:rsidRDefault="00544587" w:rsidP="00544587">
            <w:pPr>
              <w:overflowPunct/>
              <w:autoSpaceDE/>
              <w:autoSpaceDN/>
              <w:adjustRightInd/>
              <w:jc w:val="center"/>
              <w:textAlignment w:val="auto"/>
              <w:rPr>
                <w:i/>
                <w:iCs/>
                <w:color w:val="000000"/>
              </w:rPr>
            </w:pPr>
            <w:r w:rsidRPr="00544587">
              <w:rPr>
                <w:i/>
                <w:iCs/>
                <w:color w:val="000000"/>
              </w:rPr>
              <w:t>Volume</w:t>
            </w:r>
            <w:r w:rsidR="00F85A66" w:rsidRPr="00F85A66">
              <w:rPr>
                <w:i/>
                <w:iCs/>
                <w:color w:val="000000"/>
                <w:vertAlign w:val="subscript"/>
              </w:rPr>
              <w:t>t</w:t>
            </w:r>
          </w:p>
        </w:tc>
        <w:tc>
          <w:tcPr>
            <w:tcW w:w="0" w:type="auto"/>
            <w:gridSpan w:val="3"/>
            <w:tcBorders>
              <w:top w:val="nil"/>
              <w:left w:val="nil"/>
              <w:bottom w:val="nil"/>
              <w:right w:val="nil"/>
            </w:tcBorders>
            <w:shd w:val="clear" w:color="auto" w:fill="auto"/>
            <w:noWrap/>
            <w:vAlign w:val="bottom"/>
            <w:hideMark/>
          </w:tcPr>
          <w:p w:rsidR="00544587" w:rsidRPr="00544587" w:rsidRDefault="00544587" w:rsidP="008E082E">
            <w:pPr>
              <w:overflowPunct/>
              <w:autoSpaceDE/>
              <w:autoSpaceDN/>
              <w:adjustRightInd/>
              <w:jc w:val="center"/>
              <w:textAlignment w:val="auto"/>
              <w:rPr>
                <w:i/>
                <w:iCs/>
                <w:color w:val="000000"/>
              </w:rPr>
            </w:pPr>
            <w:r w:rsidRPr="00544587">
              <w:rPr>
                <w:i/>
                <w:iCs/>
                <w:color w:val="000000"/>
              </w:rPr>
              <w:t xml:space="preserve">Capital </w:t>
            </w:r>
            <w:r w:rsidR="008E082E">
              <w:rPr>
                <w:i/>
                <w:iCs/>
                <w:color w:val="000000"/>
              </w:rPr>
              <w:t>G</w:t>
            </w:r>
            <w:r w:rsidRPr="00544587">
              <w:rPr>
                <w:i/>
                <w:iCs/>
                <w:color w:val="000000"/>
              </w:rPr>
              <w:t>ains</w:t>
            </w:r>
            <w:r w:rsidR="00F85A66" w:rsidRPr="00F85A66">
              <w:rPr>
                <w:i/>
                <w:iCs/>
                <w:color w:val="000000"/>
                <w:vertAlign w:val="subscript"/>
              </w:rPr>
              <w:t>t</w:t>
            </w:r>
          </w:p>
        </w:tc>
      </w:tr>
      <w:tr w:rsidR="00544587" w:rsidRPr="00544587" w:rsidTr="00157EC7">
        <w:trPr>
          <w:trHeight w:val="20"/>
        </w:trPr>
        <w:tc>
          <w:tcPr>
            <w:tcW w:w="0" w:type="auto"/>
            <w:tcBorders>
              <w:top w:val="nil"/>
              <w:left w:val="nil"/>
              <w:bottom w:val="double" w:sz="6" w:space="0" w:color="auto"/>
              <w:right w:val="nil"/>
            </w:tcBorders>
            <w:shd w:val="clear" w:color="auto" w:fill="auto"/>
            <w:noWrap/>
            <w:vAlign w:val="bottom"/>
            <w:hideMark/>
          </w:tcPr>
          <w:p w:rsidR="00544587" w:rsidRPr="00544587" w:rsidRDefault="00544587" w:rsidP="00544587">
            <w:pPr>
              <w:overflowPunct/>
              <w:autoSpaceDE/>
              <w:autoSpaceDN/>
              <w:adjustRightInd/>
              <w:textAlignment w:val="auto"/>
              <w:rPr>
                <w:color w:val="000000"/>
              </w:rPr>
            </w:pPr>
            <w:r w:rsidRPr="00544587">
              <w:rPr>
                <w:color w:val="000000"/>
              </w:rPr>
              <w:t>Variable</w:t>
            </w:r>
          </w:p>
        </w:tc>
        <w:tc>
          <w:tcPr>
            <w:tcW w:w="0" w:type="auto"/>
            <w:gridSpan w:val="2"/>
            <w:tcBorders>
              <w:top w:val="nil"/>
              <w:left w:val="nil"/>
              <w:bottom w:val="double" w:sz="6" w:space="0" w:color="auto"/>
              <w:right w:val="nil"/>
            </w:tcBorders>
            <w:shd w:val="clear" w:color="auto" w:fill="auto"/>
            <w:noWrap/>
            <w:vAlign w:val="bottom"/>
            <w:hideMark/>
          </w:tcPr>
          <w:p w:rsidR="00544587" w:rsidRPr="00544587" w:rsidRDefault="00544587" w:rsidP="00544587">
            <w:pPr>
              <w:overflowPunct/>
              <w:autoSpaceDE/>
              <w:autoSpaceDN/>
              <w:adjustRightInd/>
              <w:jc w:val="center"/>
              <w:textAlignment w:val="auto"/>
              <w:rPr>
                <w:color w:val="000000"/>
              </w:rPr>
            </w:pPr>
            <w:r w:rsidRPr="00544587">
              <w:rPr>
                <w:color w:val="000000"/>
              </w:rPr>
              <w:t>Coef</w:t>
            </w:r>
          </w:p>
        </w:tc>
        <w:tc>
          <w:tcPr>
            <w:tcW w:w="0" w:type="auto"/>
            <w:tcBorders>
              <w:top w:val="nil"/>
              <w:left w:val="nil"/>
              <w:bottom w:val="double" w:sz="6" w:space="0" w:color="auto"/>
              <w:right w:val="nil"/>
            </w:tcBorders>
            <w:shd w:val="clear" w:color="auto" w:fill="auto"/>
            <w:noWrap/>
            <w:vAlign w:val="bottom"/>
            <w:hideMark/>
          </w:tcPr>
          <w:p w:rsidR="00544587" w:rsidRPr="00544587" w:rsidRDefault="00532660" w:rsidP="000D4BF4">
            <w:pPr>
              <w:overflowPunct/>
              <w:autoSpaceDE/>
              <w:autoSpaceDN/>
              <w:adjustRightInd/>
              <w:textAlignment w:val="auto"/>
              <w:rPr>
                <w:color w:val="000000"/>
              </w:rPr>
            </w:pPr>
            <w:r>
              <w:rPr>
                <w:color w:val="000000"/>
              </w:rPr>
              <w:t>(</w:t>
            </w:r>
            <w:r w:rsidR="00544587" w:rsidRPr="00544587">
              <w:rPr>
                <w:color w:val="000000"/>
              </w:rPr>
              <w:t>t-stat</w:t>
            </w:r>
            <w:r>
              <w:rPr>
                <w:color w:val="000000"/>
              </w:rPr>
              <w:t>)</w:t>
            </w:r>
          </w:p>
        </w:tc>
        <w:tc>
          <w:tcPr>
            <w:tcW w:w="0" w:type="auto"/>
            <w:gridSpan w:val="2"/>
            <w:tcBorders>
              <w:top w:val="nil"/>
              <w:left w:val="nil"/>
              <w:bottom w:val="double" w:sz="6" w:space="0" w:color="auto"/>
              <w:right w:val="nil"/>
            </w:tcBorders>
            <w:shd w:val="clear" w:color="auto" w:fill="auto"/>
            <w:noWrap/>
            <w:vAlign w:val="bottom"/>
            <w:hideMark/>
          </w:tcPr>
          <w:p w:rsidR="00544587" w:rsidRPr="00544587" w:rsidRDefault="00544587" w:rsidP="00544587">
            <w:pPr>
              <w:overflowPunct/>
              <w:autoSpaceDE/>
              <w:autoSpaceDN/>
              <w:adjustRightInd/>
              <w:jc w:val="center"/>
              <w:textAlignment w:val="auto"/>
              <w:rPr>
                <w:color w:val="000000"/>
              </w:rPr>
            </w:pPr>
            <w:r w:rsidRPr="00544587">
              <w:rPr>
                <w:color w:val="000000"/>
              </w:rPr>
              <w:t>Coef</w:t>
            </w:r>
          </w:p>
        </w:tc>
        <w:tc>
          <w:tcPr>
            <w:tcW w:w="880" w:type="dxa"/>
            <w:tcBorders>
              <w:top w:val="nil"/>
              <w:left w:val="nil"/>
              <w:bottom w:val="double" w:sz="6" w:space="0" w:color="auto"/>
              <w:right w:val="nil"/>
            </w:tcBorders>
            <w:shd w:val="clear" w:color="auto" w:fill="auto"/>
            <w:noWrap/>
            <w:vAlign w:val="bottom"/>
            <w:hideMark/>
          </w:tcPr>
          <w:p w:rsidR="00544587" w:rsidRPr="00544587" w:rsidRDefault="00532660" w:rsidP="000D4BF4">
            <w:pPr>
              <w:overflowPunct/>
              <w:autoSpaceDE/>
              <w:autoSpaceDN/>
              <w:adjustRightInd/>
              <w:textAlignment w:val="auto"/>
              <w:rPr>
                <w:color w:val="000000"/>
              </w:rPr>
            </w:pPr>
            <w:r>
              <w:rPr>
                <w:color w:val="000000"/>
              </w:rPr>
              <w:t>(</w:t>
            </w:r>
            <w:r w:rsidR="00544587" w:rsidRPr="00544587">
              <w:rPr>
                <w:color w:val="000000"/>
              </w:rPr>
              <w:t>t-stat</w:t>
            </w:r>
            <w:r>
              <w:rPr>
                <w:color w:val="000000"/>
              </w:rPr>
              <w:t>)</w:t>
            </w:r>
          </w:p>
        </w:tc>
        <w:tc>
          <w:tcPr>
            <w:tcW w:w="0" w:type="auto"/>
            <w:gridSpan w:val="2"/>
            <w:tcBorders>
              <w:top w:val="nil"/>
              <w:left w:val="nil"/>
              <w:bottom w:val="double" w:sz="6" w:space="0" w:color="auto"/>
              <w:right w:val="nil"/>
            </w:tcBorders>
            <w:shd w:val="clear" w:color="auto" w:fill="auto"/>
            <w:noWrap/>
            <w:vAlign w:val="bottom"/>
            <w:hideMark/>
          </w:tcPr>
          <w:p w:rsidR="00544587" w:rsidRPr="00544587" w:rsidRDefault="00544587" w:rsidP="00544587">
            <w:pPr>
              <w:overflowPunct/>
              <w:autoSpaceDE/>
              <w:autoSpaceDN/>
              <w:adjustRightInd/>
              <w:jc w:val="center"/>
              <w:textAlignment w:val="auto"/>
              <w:rPr>
                <w:color w:val="000000"/>
              </w:rPr>
            </w:pPr>
            <w:r w:rsidRPr="00544587">
              <w:rPr>
                <w:color w:val="000000"/>
              </w:rPr>
              <w:t>Coef</w:t>
            </w:r>
          </w:p>
        </w:tc>
        <w:tc>
          <w:tcPr>
            <w:tcW w:w="0" w:type="auto"/>
            <w:tcBorders>
              <w:top w:val="nil"/>
              <w:left w:val="nil"/>
              <w:bottom w:val="double" w:sz="6" w:space="0" w:color="auto"/>
              <w:right w:val="nil"/>
            </w:tcBorders>
            <w:shd w:val="clear" w:color="auto" w:fill="auto"/>
            <w:noWrap/>
            <w:vAlign w:val="bottom"/>
            <w:hideMark/>
          </w:tcPr>
          <w:p w:rsidR="00544587" w:rsidRPr="00544587" w:rsidRDefault="00532660" w:rsidP="000D4BF4">
            <w:pPr>
              <w:overflowPunct/>
              <w:autoSpaceDE/>
              <w:autoSpaceDN/>
              <w:adjustRightInd/>
              <w:textAlignment w:val="auto"/>
              <w:rPr>
                <w:color w:val="000000"/>
              </w:rPr>
            </w:pPr>
            <w:r>
              <w:rPr>
                <w:color w:val="000000"/>
              </w:rPr>
              <w:t>(</w:t>
            </w:r>
            <w:r w:rsidR="00544587" w:rsidRPr="00544587">
              <w:rPr>
                <w:color w:val="000000"/>
              </w:rPr>
              <w:t>t-stat</w:t>
            </w:r>
            <w:r>
              <w:rPr>
                <w:color w:val="000000"/>
              </w:rPr>
              <w:t>)</w:t>
            </w:r>
          </w:p>
        </w:tc>
        <w:tc>
          <w:tcPr>
            <w:tcW w:w="0" w:type="auto"/>
            <w:gridSpan w:val="2"/>
            <w:tcBorders>
              <w:top w:val="nil"/>
              <w:left w:val="nil"/>
              <w:bottom w:val="double" w:sz="6" w:space="0" w:color="auto"/>
              <w:right w:val="nil"/>
            </w:tcBorders>
            <w:shd w:val="clear" w:color="auto" w:fill="auto"/>
            <w:noWrap/>
            <w:vAlign w:val="bottom"/>
            <w:hideMark/>
          </w:tcPr>
          <w:p w:rsidR="00544587" w:rsidRPr="00544587" w:rsidRDefault="00544587" w:rsidP="00544587">
            <w:pPr>
              <w:overflowPunct/>
              <w:autoSpaceDE/>
              <w:autoSpaceDN/>
              <w:adjustRightInd/>
              <w:jc w:val="center"/>
              <w:textAlignment w:val="auto"/>
              <w:rPr>
                <w:color w:val="000000"/>
              </w:rPr>
            </w:pPr>
            <w:r w:rsidRPr="00544587">
              <w:rPr>
                <w:color w:val="000000"/>
              </w:rPr>
              <w:t>Coef</w:t>
            </w:r>
          </w:p>
        </w:tc>
        <w:tc>
          <w:tcPr>
            <w:tcW w:w="0" w:type="auto"/>
            <w:tcBorders>
              <w:top w:val="nil"/>
              <w:left w:val="nil"/>
              <w:bottom w:val="double" w:sz="6" w:space="0" w:color="auto"/>
              <w:right w:val="nil"/>
            </w:tcBorders>
            <w:shd w:val="clear" w:color="auto" w:fill="auto"/>
            <w:noWrap/>
            <w:vAlign w:val="bottom"/>
            <w:hideMark/>
          </w:tcPr>
          <w:p w:rsidR="00544587" w:rsidRPr="00544587" w:rsidRDefault="00532660" w:rsidP="000D4BF4">
            <w:pPr>
              <w:overflowPunct/>
              <w:autoSpaceDE/>
              <w:autoSpaceDN/>
              <w:adjustRightInd/>
              <w:textAlignment w:val="auto"/>
              <w:rPr>
                <w:color w:val="000000"/>
              </w:rPr>
            </w:pPr>
            <w:r>
              <w:rPr>
                <w:color w:val="000000"/>
              </w:rPr>
              <w:t>(</w:t>
            </w:r>
            <w:r w:rsidR="00544587" w:rsidRPr="00544587">
              <w:rPr>
                <w:color w:val="000000"/>
              </w:rPr>
              <w:t>t-stat</w:t>
            </w:r>
            <w:r>
              <w:rPr>
                <w:color w:val="000000"/>
              </w:rPr>
              <w:t>)</w:t>
            </w:r>
          </w:p>
        </w:tc>
      </w:tr>
      <w:tr w:rsidR="00F85A66" w:rsidRPr="00544587" w:rsidTr="00157EC7">
        <w:trPr>
          <w:trHeight w:val="20"/>
        </w:trPr>
        <w:tc>
          <w:tcPr>
            <w:tcW w:w="0" w:type="auto"/>
            <w:tcBorders>
              <w:top w:val="nil"/>
              <w:left w:val="nil"/>
              <w:bottom w:val="nil"/>
              <w:right w:val="nil"/>
            </w:tcBorders>
            <w:shd w:val="clear" w:color="auto" w:fill="auto"/>
            <w:noWrap/>
            <w:vAlign w:val="bottom"/>
            <w:hideMark/>
          </w:tcPr>
          <w:p w:rsidR="00544587" w:rsidRPr="00544587" w:rsidRDefault="00544587" w:rsidP="008E082E">
            <w:pPr>
              <w:overflowPunct/>
              <w:autoSpaceDE/>
              <w:autoSpaceDN/>
              <w:adjustRightInd/>
              <w:spacing w:before="60"/>
              <w:textAlignment w:val="auto"/>
              <w:rPr>
                <w:color w:val="000000"/>
              </w:rPr>
            </w:pPr>
            <w:r w:rsidRPr="00544587">
              <w:rPr>
                <w:color w:val="000000"/>
              </w:rPr>
              <w:t xml:space="preserve">Income </w:t>
            </w:r>
            <w:r w:rsidR="008E082E">
              <w:rPr>
                <w:color w:val="000000"/>
              </w:rPr>
              <w:t>R</w:t>
            </w:r>
            <w:r w:rsidRPr="00544587">
              <w:rPr>
                <w:color w:val="000000"/>
              </w:rPr>
              <w:t>eturn</w:t>
            </w:r>
            <w:r w:rsidR="008E082E">
              <w:rPr>
                <w:color w:val="000000"/>
              </w:rPr>
              <w:t>s</w:t>
            </w:r>
            <w:r w:rsidR="00F85A66" w:rsidRPr="00F85A66">
              <w:rPr>
                <w:color w:val="000000"/>
                <w:vertAlign w:val="subscript"/>
              </w:rPr>
              <w:t>t-1</w:t>
            </w:r>
          </w:p>
        </w:tc>
        <w:tc>
          <w:tcPr>
            <w:tcW w:w="0" w:type="auto"/>
            <w:tcBorders>
              <w:top w:val="nil"/>
              <w:left w:val="nil"/>
              <w:bottom w:val="nil"/>
              <w:right w:val="nil"/>
            </w:tcBorders>
            <w:shd w:val="clear" w:color="auto" w:fill="auto"/>
            <w:noWrap/>
            <w:vAlign w:val="bottom"/>
            <w:hideMark/>
          </w:tcPr>
          <w:p w:rsidR="00544587" w:rsidRPr="00544587" w:rsidRDefault="00544587" w:rsidP="00532660">
            <w:pPr>
              <w:overflowPunct/>
              <w:autoSpaceDE/>
              <w:autoSpaceDN/>
              <w:adjustRightInd/>
              <w:spacing w:before="60"/>
              <w:ind w:right="-91"/>
              <w:jc w:val="right"/>
              <w:textAlignment w:val="auto"/>
              <w:rPr>
                <w:color w:val="000000"/>
              </w:rPr>
            </w:pPr>
            <w:r w:rsidRPr="00544587">
              <w:rPr>
                <w:color w:val="000000"/>
              </w:rPr>
              <w:t>0.965</w:t>
            </w:r>
          </w:p>
        </w:tc>
        <w:tc>
          <w:tcPr>
            <w:tcW w:w="0" w:type="auto"/>
            <w:tcBorders>
              <w:top w:val="nil"/>
              <w:left w:val="nil"/>
              <w:bottom w:val="nil"/>
              <w:right w:val="nil"/>
            </w:tcBorders>
            <w:shd w:val="clear" w:color="auto" w:fill="auto"/>
            <w:noWrap/>
            <w:vAlign w:val="bottom"/>
            <w:hideMark/>
          </w:tcPr>
          <w:p w:rsidR="00544587" w:rsidRPr="00544587" w:rsidRDefault="00544587" w:rsidP="00532660">
            <w:pPr>
              <w:overflowPunct/>
              <w:autoSpaceDE/>
              <w:autoSpaceDN/>
              <w:adjustRightInd/>
              <w:spacing w:before="60"/>
              <w:ind w:left="-109"/>
              <w:textAlignment w:val="auto"/>
              <w:rPr>
                <w:color w:val="000000"/>
              </w:rPr>
            </w:pPr>
            <w:r w:rsidRPr="00544587">
              <w:rPr>
                <w:color w:val="000000"/>
                <w:vertAlign w:val="superscript"/>
              </w:rPr>
              <w:t>***</w:t>
            </w:r>
          </w:p>
        </w:tc>
        <w:tc>
          <w:tcPr>
            <w:tcW w:w="0" w:type="auto"/>
            <w:tcBorders>
              <w:top w:val="nil"/>
              <w:left w:val="nil"/>
              <w:bottom w:val="nil"/>
              <w:right w:val="nil"/>
            </w:tcBorders>
            <w:shd w:val="clear" w:color="auto" w:fill="auto"/>
            <w:noWrap/>
            <w:vAlign w:val="bottom"/>
            <w:hideMark/>
          </w:tcPr>
          <w:p w:rsidR="00544587" w:rsidRPr="00544587" w:rsidRDefault="00532660" w:rsidP="000D4BF4">
            <w:pPr>
              <w:overflowPunct/>
              <w:autoSpaceDE/>
              <w:autoSpaceDN/>
              <w:adjustRightInd/>
              <w:spacing w:before="60"/>
              <w:textAlignment w:val="auto"/>
              <w:rPr>
                <w:color w:val="000000"/>
              </w:rPr>
            </w:pPr>
            <w:r>
              <w:rPr>
                <w:color w:val="000000"/>
              </w:rPr>
              <w:t>(</w:t>
            </w:r>
            <w:r w:rsidR="00544587" w:rsidRPr="00544587">
              <w:rPr>
                <w:color w:val="000000"/>
              </w:rPr>
              <w:t>47.8</w:t>
            </w:r>
            <w:r>
              <w:rPr>
                <w:color w:val="000000"/>
              </w:rPr>
              <w:t>)</w:t>
            </w:r>
          </w:p>
        </w:tc>
        <w:tc>
          <w:tcPr>
            <w:tcW w:w="0" w:type="auto"/>
            <w:tcBorders>
              <w:top w:val="nil"/>
              <w:left w:val="nil"/>
              <w:bottom w:val="nil"/>
              <w:right w:val="nil"/>
            </w:tcBorders>
            <w:shd w:val="clear" w:color="auto" w:fill="auto"/>
            <w:noWrap/>
            <w:vAlign w:val="bottom"/>
            <w:hideMark/>
          </w:tcPr>
          <w:p w:rsidR="00544587" w:rsidRPr="00544587" w:rsidRDefault="00544587" w:rsidP="00157EC7">
            <w:pPr>
              <w:overflowPunct/>
              <w:autoSpaceDE/>
              <w:autoSpaceDN/>
              <w:adjustRightInd/>
              <w:spacing w:before="60"/>
              <w:ind w:right="-119"/>
              <w:jc w:val="right"/>
              <w:textAlignment w:val="auto"/>
              <w:rPr>
                <w:color w:val="000000"/>
              </w:rPr>
            </w:pPr>
            <w:r w:rsidRPr="00544587">
              <w:rPr>
                <w:color w:val="000000"/>
              </w:rPr>
              <w:t>-0.077</w:t>
            </w:r>
          </w:p>
        </w:tc>
        <w:tc>
          <w:tcPr>
            <w:tcW w:w="0" w:type="auto"/>
            <w:tcBorders>
              <w:top w:val="nil"/>
              <w:left w:val="nil"/>
              <w:bottom w:val="nil"/>
              <w:right w:val="nil"/>
            </w:tcBorders>
            <w:shd w:val="clear" w:color="auto" w:fill="auto"/>
            <w:noWrap/>
            <w:vAlign w:val="bottom"/>
            <w:hideMark/>
          </w:tcPr>
          <w:p w:rsidR="00544587" w:rsidRPr="00544587" w:rsidRDefault="00544587" w:rsidP="00532660">
            <w:pPr>
              <w:overflowPunct/>
              <w:autoSpaceDE/>
              <w:autoSpaceDN/>
              <w:adjustRightInd/>
              <w:spacing w:before="60"/>
              <w:ind w:left="-94"/>
              <w:textAlignment w:val="auto"/>
              <w:rPr>
                <w:color w:val="000000"/>
              </w:rPr>
            </w:pPr>
            <w:r w:rsidRPr="00544587">
              <w:rPr>
                <w:color w:val="000000"/>
                <w:vertAlign w:val="superscript"/>
              </w:rPr>
              <w:t>*</w:t>
            </w:r>
          </w:p>
        </w:tc>
        <w:tc>
          <w:tcPr>
            <w:tcW w:w="880" w:type="dxa"/>
            <w:tcBorders>
              <w:top w:val="nil"/>
              <w:left w:val="nil"/>
              <w:bottom w:val="nil"/>
              <w:right w:val="nil"/>
            </w:tcBorders>
            <w:shd w:val="clear" w:color="auto" w:fill="auto"/>
            <w:noWrap/>
            <w:vAlign w:val="bottom"/>
            <w:hideMark/>
          </w:tcPr>
          <w:p w:rsidR="00544587" w:rsidRPr="00544587" w:rsidRDefault="00532660" w:rsidP="000D4BF4">
            <w:pPr>
              <w:overflowPunct/>
              <w:autoSpaceDE/>
              <w:autoSpaceDN/>
              <w:adjustRightInd/>
              <w:spacing w:before="60"/>
              <w:textAlignment w:val="auto"/>
              <w:rPr>
                <w:color w:val="000000"/>
              </w:rPr>
            </w:pPr>
            <w:r>
              <w:rPr>
                <w:color w:val="000000"/>
              </w:rPr>
              <w:t>(</w:t>
            </w:r>
            <w:r w:rsidR="00544587" w:rsidRPr="00544587">
              <w:rPr>
                <w:color w:val="000000"/>
              </w:rPr>
              <w:t>-1.7</w:t>
            </w:r>
            <w:r>
              <w:rPr>
                <w:color w:val="000000"/>
              </w:rPr>
              <w:t>)</w:t>
            </w:r>
          </w:p>
        </w:tc>
        <w:tc>
          <w:tcPr>
            <w:tcW w:w="0" w:type="auto"/>
            <w:tcBorders>
              <w:top w:val="nil"/>
              <w:left w:val="nil"/>
              <w:bottom w:val="nil"/>
              <w:right w:val="nil"/>
            </w:tcBorders>
            <w:shd w:val="clear" w:color="auto" w:fill="auto"/>
            <w:noWrap/>
            <w:vAlign w:val="bottom"/>
            <w:hideMark/>
          </w:tcPr>
          <w:p w:rsidR="00544587" w:rsidRPr="00544587" w:rsidRDefault="00544587" w:rsidP="00532660">
            <w:pPr>
              <w:overflowPunct/>
              <w:autoSpaceDE/>
              <w:autoSpaceDN/>
              <w:adjustRightInd/>
              <w:spacing w:before="60"/>
              <w:ind w:right="-53"/>
              <w:jc w:val="right"/>
              <w:textAlignment w:val="auto"/>
              <w:rPr>
                <w:color w:val="000000"/>
              </w:rPr>
            </w:pPr>
            <w:r w:rsidRPr="00544587">
              <w:rPr>
                <w:color w:val="000000"/>
              </w:rPr>
              <w:t>0.208</w:t>
            </w:r>
          </w:p>
        </w:tc>
        <w:tc>
          <w:tcPr>
            <w:tcW w:w="0" w:type="auto"/>
            <w:tcBorders>
              <w:top w:val="nil"/>
              <w:left w:val="nil"/>
              <w:bottom w:val="nil"/>
              <w:right w:val="nil"/>
            </w:tcBorders>
            <w:shd w:val="clear" w:color="auto" w:fill="auto"/>
            <w:noWrap/>
            <w:vAlign w:val="bottom"/>
            <w:hideMark/>
          </w:tcPr>
          <w:p w:rsidR="00544587" w:rsidRPr="00544587" w:rsidRDefault="00544587" w:rsidP="00532660">
            <w:pPr>
              <w:overflowPunct/>
              <w:autoSpaceDE/>
              <w:autoSpaceDN/>
              <w:adjustRightInd/>
              <w:spacing w:before="60"/>
              <w:ind w:left="-40"/>
              <w:textAlignment w:val="auto"/>
              <w:rPr>
                <w:color w:val="000000"/>
              </w:rPr>
            </w:pPr>
            <w:r w:rsidRPr="00544587">
              <w:rPr>
                <w:color w:val="000000"/>
                <w:vertAlign w:val="superscript"/>
              </w:rPr>
              <w:t>*</w:t>
            </w:r>
          </w:p>
        </w:tc>
        <w:tc>
          <w:tcPr>
            <w:tcW w:w="0" w:type="auto"/>
            <w:tcBorders>
              <w:top w:val="nil"/>
              <w:left w:val="nil"/>
              <w:bottom w:val="nil"/>
              <w:right w:val="nil"/>
            </w:tcBorders>
            <w:shd w:val="clear" w:color="auto" w:fill="auto"/>
            <w:noWrap/>
            <w:vAlign w:val="bottom"/>
            <w:hideMark/>
          </w:tcPr>
          <w:p w:rsidR="00544587" w:rsidRPr="00544587" w:rsidRDefault="00532660" w:rsidP="000D4BF4">
            <w:pPr>
              <w:overflowPunct/>
              <w:autoSpaceDE/>
              <w:autoSpaceDN/>
              <w:adjustRightInd/>
              <w:spacing w:before="60"/>
              <w:textAlignment w:val="auto"/>
              <w:rPr>
                <w:color w:val="000000"/>
              </w:rPr>
            </w:pPr>
            <w:r>
              <w:rPr>
                <w:color w:val="000000"/>
              </w:rPr>
              <w:t>(</w:t>
            </w:r>
            <w:r w:rsidR="00544587" w:rsidRPr="00544587">
              <w:rPr>
                <w:color w:val="000000"/>
              </w:rPr>
              <w:t>2.0</w:t>
            </w:r>
            <w:r>
              <w:rPr>
                <w:color w:val="000000"/>
              </w:rPr>
              <w:t>)</w:t>
            </w:r>
          </w:p>
        </w:tc>
        <w:tc>
          <w:tcPr>
            <w:tcW w:w="0" w:type="auto"/>
            <w:tcBorders>
              <w:top w:val="nil"/>
              <w:left w:val="nil"/>
              <w:bottom w:val="nil"/>
              <w:right w:val="nil"/>
            </w:tcBorders>
            <w:shd w:val="clear" w:color="auto" w:fill="auto"/>
            <w:noWrap/>
            <w:vAlign w:val="bottom"/>
            <w:hideMark/>
          </w:tcPr>
          <w:p w:rsidR="00544587" w:rsidRPr="00544587" w:rsidRDefault="00544587" w:rsidP="00532660">
            <w:pPr>
              <w:overflowPunct/>
              <w:autoSpaceDE/>
              <w:autoSpaceDN/>
              <w:adjustRightInd/>
              <w:spacing w:before="60"/>
              <w:ind w:right="-49"/>
              <w:jc w:val="right"/>
              <w:textAlignment w:val="auto"/>
              <w:rPr>
                <w:color w:val="000000"/>
              </w:rPr>
            </w:pPr>
            <w:r w:rsidRPr="00544587">
              <w:rPr>
                <w:color w:val="000000"/>
              </w:rPr>
              <w:t>0.051</w:t>
            </w:r>
          </w:p>
        </w:tc>
        <w:tc>
          <w:tcPr>
            <w:tcW w:w="0" w:type="auto"/>
            <w:tcBorders>
              <w:top w:val="nil"/>
              <w:left w:val="nil"/>
              <w:bottom w:val="nil"/>
              <w:right w:val="nil"/>
            </w:tcBorders>
            <w:shd w:val="clear" w:color="auto" w:fill="auto"/>
            <w:noWrap/>
            <w:vAlign w:val="bottom"/>
            <w:hideMark/>
          </w:tcPr>
          <w:p w:rsidR="00544587" w:rsidRPr="00544587" w:rsidRDefault="00544587" w:rsidP="00532660">
            <w:pPr>
              <w:overflowPunct/>
              <w:autoSpaceDE/>
              <w:autoSpaceDN/>
              <w:adjustRightInd/>
              <w:spacing w:before="60"/>
              <w:ind w:left="-94"/>
              <w:textAlignment w:val="auto"/>
              <w:rPr>
                <w:color w:val="000000"/>
              </w:rPr>
            </w:pPr>
          </w:p>
        </w:tc>
        <w:tc>
          <w:tcPr>
            <w:tcW w:w="0" w:type="auto"/>
            <w:tcBorders>
              <w:top w:val="nil"/>
              <w:left w:val="nil"/>
              <w:bottom w:val="nil"/>
              <w:right w:val="nil"/>
            </w:tcBorders>
            <w:shd w:val="clear" w:color="auto" w:fill="auto"/>
            <w:noWrap/>
            <w:vAlign w:val="bottom"/>
            <w:hideMark/>
          </w:tcPr>
          <w:p w:rsidR="00544587" w:rsidRPr="00544587" w:rsidRDefault="00532660" w:rsidP="000D4BF4">
            <w:pPr>
              <w:overflowPunct/>
              <w:autoSpaceDE/>
              <w:autoSpaceDN/>
              <w:adjustRightInd/>
              <w:spacing w:before="60"/>
              <w:textAlignment w:val="auto"/>
              <w:rPr>
                <w:color w:val="000000"/>
              </w:rPr>
            </w:pPr>
            <w:r>
              <w:rPr>
                <w:color w:val="000000"/>
              </w:rPr>
              <w:t>(</w:t>
            </w:r>
            <w:r w:rsidR="00544587" w:rsidRPr="00544587">
              <w:rPr>
                <w:color w:val="000000"/>
              </w:rPr>
              <w:t>0.6</w:t>
            </w:r>
            <w:r>
              <w:rPr>
                <w:color w:val="000000"/>
              </w:rPr>
              <w:t>)</w:t>
            </w:r>
          </w:p>
        </w:tc>
      </w:tr>
      <w:tr w:rsidR="00F85A66" w:rsidRPr="00544587" w:rsidTr="00157EC7">
        <w:trPr>
          <w:trHeight w:val="20"/>
        </w:trPr>
        <w:tc>
          <w:tcPr>
            <w:tcW w:w="0" w:type="auto"/>
            <w:tcBorders>
              <w:top w:val="nil"/>
              <w:left w:val="nil"/>
              <w:bottom w:val="nil"/>
              <w:right w:val="nil"/>
            </w:tcBorders>
            <w:shd w:val="clear" w:color="auto" w:fill="auto"/>
            <w:noWrap/>
            <w:vAlign w:val="bottom"/>
            <w:hideMark/>
          </w:tcPr>
          <w:p w:rsidR="00544587" w:rsidRPr="00544587" w:rsidRDefault="00544587" w:rsidP="00F85A66">
            <w:pPr>
              <w:overflowPunct/>
              <w:autoSpaceDE/>
              <w:autoSpaceDN/>
              <w:adjustRightInd/>
              <w:textAlignment w:val="auto"/>
              <w:rPr>
                <w:color w:val="000000"/>
              </w:rPr>
            </w:pPr>
            <w:r w:rsidRPr="00544587">
              <w:rPr>
                <w:color w:val="000000"/>
              </w:rPr>
              <w:t xml:space="preserve">Capital </w:t>
            </w:r>
            <w:r w:rsidR="008E082E">
              <w:rPr>
                <w:color w:val="000000"/>
              </w:rPr>
              <w:t>G</w:t>
            </w:r>
            <w:r w:rsidRPr="00544587">
              <w:rPr>
                <w:color w:val="000000"/>
              </w:rPr>
              <w:t>ains</w:t>
            </w:r>
            <w:r w:rsidR="00F85A66" w:rsidRPr="00F85A66">
              <w:rPr>
                <w:color w:val="000000"/>
                <w:vertAlign w:val="subscript"/>
              </w:rPr>
              <w:t>t-1</w:t>
            </w:r>
          </w:p>
        </w:tc>
        <w:tc>
          <w:tcPr>
            <w:tcW w:w="0" w:type="auto"/>
            <w:tcBorders>
              <w:top w:val="nil"/>
              <w:left w:val="nil"/>
              <w:bottom w:val="nil"/>
              <w:right w:val="nil"/>
            </w:tcBorders>
            <w:shd w:val="clear" w:color="auto" w:fill="auto"/>
            <w:noWrap/>
            <w:vAlign w:val="bottom"/>
            <w:hideMark/>
          </w:tcPr>
          <w:p w:rsidR="00544587" w:rsidRPr="00544587" w:rsidRDefault="00544587" w:rsidP="00532660">
            <w:pPr>
              <w:overflowPunct/>
              <w:autoSpaceDE/>
              <w:autoSpaceDN/>
              <w:adjustRightInd/>
              <w:ind w:right="-91"/>
              <w:jc w:val="right"/>
              <w:textAlignment w:val="auto"/>
              <w:rPr>
                <w:color w:val="000000"/>
              </w:rPr>
            </w:pPr>
            <w:r w:rsidRPr="00544587">
              <w:rPr>
                <w:color w:val="000000"/>
              </w:rPr>
              <w:t>-0.144</w:t>
            </w:r>
          </w:p>
        </w:tc>
        <w:tc>
          <w:tcPr>
            <w:tcW w:w="0" w:type="auto"/>
            <w:tcBorders>
              <w:top w:val="nil"/>
              <w:left w:val="nil"/>
              <w:bottom w:val="nil"/>
              <w:right w:val="nil"/>
            </w:tcBorders>
            <w:shd w:val="clear" w:color="auto" w:fill="auto"/>
            <w:noWrap/>
            <w:vAlign w:val="bottom"/>
            <w:hideMark/>
          </w:tcPr>
          <w:p w:rsidR="00544587" w:rsidRPr="00544587" w:rsidRDefault="00544587" w:rsidP="00532660">
            <w:pPr>
              <w:overflowPunct/>
              <w:autoSpaceDE/>
              <w:autoSpaceDN/>
              <w:adjustRightInd/>
              <w:ind w:left="-109"/>
              <w:textAlignment w:val="auto"/>
              <w:rPr>
                <w:color w:val="000000"/>
              </w:rPr>
            </w:pPr>
            <w:r w:rsidRPr="00544587">
              <w:rPr>
                <w:color w:val="000000"/>
                <w:vertAlign w:val="superscript"/>
              </w:rPr>
              <w:t>***</w:t>
            </w:r>
          </w:p>
        </w:tc>
        <w:tc>
          <w:tcPr>
            <w:tcW w:w="0" w:type="auto"/>
            <w:tcBorders>
              <w:top w:val="nil"/>
              <w:left w:val="nil"/>
              <w:bottom w:val="nil"/>
              <w:right w:val="nil"/>
            </w:tcBorders>
            <w:shd w:val="clear" w:color="auto" w:fill="auto"/>
            <w:noWrap/>
            <w:vAlign w:val="bottom"/>
            <w:hideMark/>
          </w:tcPr>
          <w:p w:rsidR="00544587" w:rsidRPr="00544587" w:rsidRDefault="00532660" w:rsidP="000D4BF4">
            <w:pPr>
              <w:overflowPunct/>
              <w:autoSpaceDE/>
              <w:autoSpaceDN/>
              <w:adjustRightInd/>
              <w:textAlignment w:val="auto"/>
              <w:rPr>
                <w:color w:val="000000"/>
              </w:rPr>
            </w:pPr>
            <w:r>
              <w:rPr>
                <w:color w:val="000000"/>
              </w:rPr>
              <w:t>(</w:t>
            </w:r>
            <w:r w:rsidR="00544587" w:rsidRPr="00544587">
              <w:rPr>
                <w:color w:val="000000"/>
              </w:rPr>
              <w:t>-5.8</w:t>
            </w:r>
            <w:r>
              <w:rPr>
                <w:color w:val="000000"/>
              </w:rPr>
              <w:t>)</w:t>
            </w:r>
          </w:p>
        </w:tc>
        <w:tc>
          <w:tcPr>
            <w:tcW w:w="0" w:type="auto"/>
            <w:tcBorders>
              <w:top w:val="nil"/>
              <w:left w:val="nil"/>
              <w:bottom w:val="nil"/>
              <w:right w:val="nil"/>
            </w:tcBorders>
            <w:shd w:val="clear" w:color="auto" w:fill="auto"/>
            <w:noWrap/>
            <w:vAlign w:val="bottom"/>
            <w:hideMark/>
          </w:tcPr>
          <w:p w:rsidR="00544587" w:rsidRPr="00544587" w:rsidRDefault="00544587" w:rsidP="00157EC7">
            <w:pPr>
              <w:overflowPunct/>
              <w:autoSpaceDE/>
              <w:autoSpaceDN/>
              <w:adjustRightInd/>
              <w:ind w:right="-119"/>
              <w:jc w:val="right"/>
              <w:textAlignment w:val="auto"/>
              <w:rPr>
                <w:color w:val="000000"/>
              </w:rPr>
            </w:pPr>
            <w:r w:rsidRPr="00544587">
              <w:rPr>
                <w:color w:val="000000"/>
              </w:rPr>
              <w:t>0.002</w:t>
            </w:r>
          </w:p>
        </w:tc>
        <w:tc>
          <w:tcPr>
            <w:tcW w:w="0" w:type="auto"/>
            <w:tcBorders>
              <w:top w:val="nil"/>
              <w:left w:val="nil"/>
              <w:bottom w:val="nil"/>
              <w:right w:val="nil"/>
            </w:tcBorders>
            <w:shd w:val="clear" w:color="auto" w:fill="auto"/>
            <w:noWrap/>
            <w:vAlign w:val="bottom"/>
            <w:hideMark/>
          </w:tcPr>
          <w:p w:rsidR="00544587" w:rsidRPr="00544587" w:rsidRDefault="00544587" w:rsidP="00532660">
            <w:pPr>
              <w:overflowPunct/>
              <w:autoSpaceDE/>
              <w:autoSpaceDN/>
              <w:adjustRightInd/>
              <w:ind w:left="-94"/>
              <w:textAlignment w:val="auto"/>
              <w:rPr>
                <w:color w:val="000000"/>
              </w:rPr>
            </w:pPr>
          </w:p>
        </w:tc>
        <w:tc>
          <w:tcPr>
            <w:tcW w:w="880" w:type="dxa"/>
            <w:tcBorders>
              <w:top w:val="nil"/>
              <w:left w:val="nil"/>
              <w:bottom w:val="nil"/>
              <w:right w:val="nil"/>
            </w:tcBorders>
            <w:shd w:val="clear" w:color="auto" w:fill="auto"/>
            <w:noWrap/>
            <w:vAlign w:val="bottom"/>
            <w:hideMark/>
          </w:tcPr>
          <w:p w:rsidR="00544587" w:rsidRPr="00544587" w:rsidRDefault="00532660" w:rsidP="000D4BF4">
            <w:pPr>
              <w:overflowPunct/>
              <w:autoSpaceDE/>
              <w:autoSpaceDN/>
              <w:adjustRightInd/>
              <w:textAlignment w:val="auto"/>
              <w:rPr>
                <w:color w:val="000000"/>
              </w:rPr>
            </w:pPr>
            <w:r>
              <w:rPr>
                <w:color w:val="000000"/>
              </w:rPr>
              <w:t>(</w:t>
            </w:r>
            <w:r w:rsidR="00544587" w:rsidRPr="00544587">
              <w:rPr>
                <w:color w:val="000000"/>
              </w:rPr>
              <w:t>0.0</w:t>
            </w:r>
            <w:r>
              <w:rPr>
                <w:color w:val="000000"/>
              </w:rPr>
              <w:t>)</w:t>
            </w:r>
          </w:p>
        </w:tc>
        <w:tc>
          <w:tcPr>
            <w:tcW w:w="0" w:type="auto"/>
            <w:tcBorders>
              <w:top w:val="nil"/>
              <w:left w:val="nil"/>
              <w:bottom w:val="nil"/>
              <w:right w:val="nil"/>
            </w:tcBorders>
            <w:shd w:val="clear" w:color="auto" w:fill="auto"/>
            <w:noWrap/>
            <w:vAlign w:val="bottom"/>
            <w:hideMark/>
          </w:tcPr>
          <w:p w:rsidR="00544587" w:rsidRPr="00544587" w:rsidRDefault="00544587" w:rsidP="00532660">
            <w:pPr>
              <w:overflowPunct/>
              <w:autoSpaceDE/>
              <w:autoSpaceDN/>
              <w:adjustRightInd/>
              <w:ind w:right="-53"/>
              <w:jc w:val="right"/>
              <w:textAlignment w:val="auto"/>
              <w:rPr>
                <w:color w:val="000000"/>
              </w:rPr>
            </w:pPr>
            <w:r w:rsidRPr="00544587">
              <w:rPr>
                <w:color w:val="000000"/>
              </w:rPr>
              <w:t>0.231</w:t>
            </w:r>
          </w:p>
        </w:tc>
        <w:tc>
          <w:tcPr>
            <w:tcW w:w="0" w:type="auto"/>
            <w:tcBorders>
              <w:top w:val="nil"/>
              <w:left w:val="nil"/>
              <w:bottom w:val="nil"/>
              <w:right w:val="nil"/>
            </w:tcBorders>
            <w:shd w:val="clear" w:color="auto" w:fill="auto"/>
            <w:noWrap/>
            <w:vAlign w:val="bottom"/>
            <w:hideMark/>
          </w:tcPr>
          <w:p w:rsidR="00544587" w:rsidRPr="00544587" w:rsidRDefault="00544587" w:rsidP="00532660">
            <w:pPr>
              <w:overflowPunct/>
              <w:autoSpaceDE/>
              <w:autoSpaceDN/>
              <w:adjustRightInd/>
              <w:ind w:left="-40"/>
              <w:textAlignment w:val="auto"/>
              <w:rPr>
                <w:color w:val="000000"/>
              </w:rPr>
            </w:pPr>
            <w:r w:rsidRPr="00544587">
              <w:rPr>
                <w:color w:val="000000"/>
                <w:vertAlign w:val="superscript"/>
              </w:rPr>
              <w:t>*</w:t>
            </w:r>
          </w:p>
        </w:tc>
        <w:tc>
          <w:tcPr>
            <w:tcW w:w="0" w:type="auto"/>
            <w:tcBorders>
              <w:top w:val="nil"/>
              <w:left w:val="nil"/>
              <w:bottom w:val="nil"/>
              <w:right w:val="nil"/>
            </w:tcBorders>
            <w:shd w:val="clear" w:color="auto" w:fill="auto"/>
            <w:noWrap/>
            <w:vAlign w:val="bottom"/>
            <w:hideMark/>
          </w:tcPr>
          <w:p w:rsidR="00544587" w:rsidRPr="00544587" w:rsidRDefault="00532660" w:rsidP="000D4BF4">
            <w:pPr>
              <w:overflowPunct/>
              <w:autoSpaceDE/>
              <w:autoSpaceDN/>
              <w:adjustRightInd/>
              <w:textAlignment w:val="auto"/>
              <w:rPr>
                <w:color w:val="000000"/>
              </w:rPr>
            </w:pPr>
            <w:r>
              <w:rPr>
                <w:color w:val="000000"/>
              </w:rPr>
              <w:t>(</w:t>
            </w:r>
            <w:r w:rsidR="00544587" w:rsidRPr="00544587">
              <w:rPr>
                <w:color w:val="000000"/>
              </w:rPr>
              <w:t>1.8</w:t>
            </w:r>
            <w:r>
              <w:rPr>
                <w:color w:val="000000"/>
              </w:rPr>
              <w:t>)</w:t>
            </w:r>
          </w:p>
        </w:tc>
        <w:tc>
          <w:tcPr>
            <w:tcW w:w="0" w:type="auto"/>
            <w:tcBorders>
              <w:top w:val="nil"/>
              <w:left w:val="nil"/>
              <w:bottom w:val="nil"/>
              <w:right w:val="nil"/>
            </w:tcBorders>
            <w:shd w:val="clear" w:color="auto" w:fill="auto"/>
            <w:noWrap/>
            <w:vAlign w:val="bottom"/>
            <w:hideMark/>
          </w:tcPr>
          <w:p w:rsidR="00544587" w:rsidRPr="00544587" w:rsidRDefault="00544587" w:rsidP="00532660">
            <w:pPr>
              <w:overflowPunct/>
              <w:autoSpaceDE/>
              <w:autoSpaceDN/>
              <w:adjustRightInd/>
              <w:ind w:right="-49"/>
              <w:jc w:val="right"/>
              <w:textAlignment w:val="auto"/>
              <w:rPr>
                <w:color w:val="000000"/>
              </w:rPr>
            </w:pPr>
            <w:r w:rsidRPr="00544587">
              <w:rPr>
                <w:color w:val="000000"/>
              </w:rPr>
              <w:t>0.680</w:t>
            </w:r>
          </w:p>
        </w:tc>
        <w:tc>
          <w:tcPr>
            <w:tcW w:w="0" w:type="auto"/>
            <w:tcBorders>
              <w:top w:val="nil"/>
              <w:left w:val="nil"/>
              <w:bottom w:val="nil"/>
              <w:right w:val="nil"/>
            </w:tcBorders>
            <w:shd w:val="clear" w:color="auto" w:fill="auto"/>
            <w:noWrap/>
            <w:vAlign w:val="bottom"/>
            <w:hideMark/>
          </w:tcPr>
          <w:p w:rsidR="00544587" w:rsidRPr="00544587" w:rsidRDefault="00544587" w:rsidP="00532660">
            <w:pPr>
              <w:overflowPunct/>
              <w:autoSpaceDE/>
              <w:autoSpaceDN/>
              <w:adjustRightInd/>
              <w:ind w:left="-94"/>
              <w:textAlignment w:val="auto"/>
              <w:rPr>
                <w:color w:val="000000"/>
              </w:rPr>
            </w:pPr>
            <w:r w:rsidRPr="00544587">
              <w:rPr>
                <w:color w:val="000000"/>
                <w:vertAlign w:val="superscript"/>
              </w:rPr>
              <w:t>***</w:t>
            </w:r>
          </w:p>
        </w:tc>
        <w:tc>
          <w:tcPr>
            <w:tcW w:w="0" w:type="auto"/>
            <w:tcBorders>
              <w:top w:val="nil"/>
              <w:left w:val="nil"/>
              <w:bottom w:val="nil"/>
              <w:right w:val="nil"/>
            </w:tcBorders>
            <w:shd w:val="clear" w:color="auto" w:fill="auto"/>
            <w:noWrap/>
            <w:vAlign w:val="bottom"/>
            <w:hideMark/>
          </w:tcPr>
          <w:p w:rsidR="00544587" w:rsidRPr="00544587" w:rsidRDefault="00532660" w:rsidP="000D4BF4">
            <w:pPr>
              <w:overflowPunct/>
              <w:autoSpaceDE/>
              <w:autoSpaceDN/>
              <w:adjustRightInd/>
              <w:textAlignment w:val="auto"/>
              <w:rPr>
                <w:color w:val="000000"/>
              </w:rPr>
            </w:pPr>
            <w:r>
              <w:rPr>
                <w:color w:val="000000"/>
              </w:rPr>
              <w:t>(</w:t>
            </w:r>
            <w:r w:rsidR="00544587" w:rsidRPr="00544587">
              <w:rPr>
                <w:color w:val="000000"/>
              </w:rPr>
              <w:t>7.0</w:t>
            </w:r>
            <w:r>
              <w:rPr>
                <w:color w:val="000000"/>
              </w:rPr>
              <w:t>)</w:t>
            </w:r>
          </w:p>
        </w:tc>
      </w:tr>
      <w:tr w:rsidR="00F85A66" w:rsidRPr="00544587" w:rsidTr="00157EC7">
        <w:trPr>
          <w:trHeight w:val="20"/>
        </w:trPr>
        <w:tc>
          <w:tcPr>
            <w:tcW w:w="0" w:type="auto"/>
            <w:tcBorders>
              <w:top w:val="nil"/>
              <w:left w:val="nil"/>
              <w:bottom w:val="nil"/>
              <w:right w:val="nil"/>
            </w:tcBorders>
            <w:shd w:val="clear" w:color="auto" w:fill="auto"/>
            <w:noWrap/>
            <w:vAlign w:val="bottom"/>
            <w:hideMark/>
          </w:tcPr>
          <w:p w:rsidR="00544587" w:rsidRPr="00544587" w:rsidRDefault="00544587" w:rsidP="00F85A66">
            <w:pPr>
              <w:overflowPunct/>
              <w:autoSpaceDE/>
              <w:autoSpaceDN/>
              <w:adjustRightInd/>
              <w:textAlignment w:val="auto"/>
              <w:rPr>
                <w:color w:val="000000"/>
              </w:rPr>
            </w:pPr>
            <w:r w:rsidRPr="00544587">
              <w:rPr>
                <w:color w:val="000000"/>
              </w:rPr>
              <w:t>Volume</w:t>
            </w:r>
            <w:r w:rsidR="00F85A66" w:rsidRPr="00F85A66">
              <w:rPr>
                <w:color w:val="000000"/>
                <w:vertAlign w:val="subscript"/>
              </w:rPr>
              <w:t>t-1</w:t>
            </w:r>
          </w:p>
        </w:tc>
        <w:tc>
          <w:tcPr>
            <w:tcW w:w="0" w:type="auto"/>
            <w:tcBorders>
              <w:top w:val="nil"/>
              <w:left w:val="nil"/>
              <w:bottom w:val="nil"/>
              <w:right w:val="nil"/>
            </w:tcBorders>
            <w:shd w:val="clear" w:color="auto" w:fill="auto"/>
            <w:noWrap/>
            <w:vAlign w:val="bottom"/>
            <w:hideMark/>
          </w:tcPr>
          <w:p w:rsidR="00544587" w:rsidRPr="00544587" w:rsidRDefault="00544587" w:rsidP="00532660">
            <w:pPr>
              <w:overflowPunct/>
              <w:autoSpaceDE/>
              <w:autoSpaceDN/>
              <w:adjustRightInd/>
              <w:ind w:right="-91"/>
              <w:jc w:val="right"/>
              <w:textAlignment w:val="auto"/>
              <w:rPr>
                <w:color w:val="000000"/>
              </w:rPr>
            </w:pPr>
            <w:r w:rsidRPr="00544587">
              <w:rPr>
                <w:color w:val="000000"/>
              </w:rPr>
              <w:t>-0.022</w:t>
            </w:r>
          </w:p>
        </w:tc>
        <w:tc>
          <w:tcPr>
            <w:tcW w:w="0" w:type="auto"/>
            <w:tcBorders>
              <w:top w:val="nil"/>
              <w:left w:val="nil"/>
              <w:bottom w:val="nil"/>
              <w:right w:val="nil"/>
            </w:tcBorders>
            <w:shd w:val="clear" w:color="auto" w:fill="auto"/>
            <w:noWrap/>
            <w:vAlign w:val="bottom"/>
            <w:hideMark/>
          </w:tcPr>
          <w:p w:rsidR="00544587" w:rsidRPr="00544587" w:rsidRDefault="00544587" w:rsidP="00532660">
            <w:pPr>
              <w:overflowPunct/>
              <w:autoSpaceDE/>
              <w:autoSpaceDN/>
              <w:adjustRightInd/>
              <w:ind w:left="-109"/>
              <w:textAlignment w:val="auto"/>
              <w:rPr>
                <w:color w:val="000000"/>
              </w:rPr>
            </w:pPr>
          </w:p>
        </w:tc>
        <w:tc>
          <w:tcPr>
            <w:tcW w:w="0" w:type="auto"/>
            <w:tcBorders>
              <w:top w:val="nil"/>
              <w:left w:val="nil"/>
              <w:bottom w:val="nil"/>
              <w:right w:val="nil"/>
            </w:tcBorders>
            <w:shd w:val="clear" w:color="auto" w:fill="auto"/>
            <w:noWrap/>
            <w:vAlign w:val="bottom"/>
            <w:hideMark/>
          </w:tcPr>
          <w:p w:rsidR="00544587" w:rsidRPr="00544587" w:rsidRDefault="00532660" w:rsidP="000D4BF4">
            <w:pPr>
              <w:overflowPunct/>
              <w:autoSpaceDE/>
              <w:autoSpaceDN/>
              <w:adjustRightInd/>
              <w:textAlignment w:val="auto"/>
              <w:rPr>
                <w:color w:val="000000"/>
              </w:rPr>
            </w:pPr>
            <w:r>
              <w:rPr>
                <w:color w:val="000000"/>
              </w:rPr>
              <w:t>(</w:t>
            </w:r>
            <w:r w:rsidR="00544587" w:rsidRPr="00544587">
              <w:rPr>
                <w:color w:val="000000"/>
              </w:rPr>
              <w:t>-1.1</w:t>
            </w:r>
            <w:r>
              <w:rPr>
                <w:color w:val="000000"/>
              </w:rPr>
              <w:t>)</w:t>
            </w:r>
          </w:p>
        </w:tc>
        <w:tc>
          <w:tcPr>
            <w:tcW w:w="0" w:type="auto"/>
            <w:tcBorders>
              <w:top w:val="nil"/>
              <w:left w:val="nil"/>
              <w:bottom w:val="nil"/>
              <w:right w:val="nil"/>
            </w:tcBorders>
            <w:shd w:val="clear" w:color="auto" w:fill="auto"/>
            <w:noWrap/>
            <w:vAlign w:val="bottom"/>
            <w:hideMark/>
          </w:tcPr>
          <w:p w:rsidR="00544587" w:rsidRPr="00544587" w:rsidRDefault="00544587" w:rsidP="00157EC7">
            <w:pPr>
              <w:overflowPunct/>
              <w:autoSpaceDE/>
              <w:autoSpaceDN/>
              <w:adjustRightInd/>
              <w:ind w:right="-119"/>
              <w:jc w:val="right"/>
              <w:textAlignment w:val="auto"/>
              <w:rPr>
                <w:color w:val="000000"/>
              </w:rPr>
            </w:pPr>
            <w:r w:rsidRPr="00544587">
              <w:rPr>
                <w:color w:val="000000"/>
              </w:rPr>
              <w:t>-0.066</w:t>
            </w:r>
          </w:p>
        </w:tc>
        <w:tc>
          <w:tcPr>
            <w:tcW w:w="0" w:type="auto"/>
            <w:tcBorders>
              <w:top w:val="nil"/>
              <w:left w:val="nil"/>
              <w:bottom w:val="nil"/>
              <w:right w:val="nil"/>
            </w:tcBorders>
            <w:shd w:val="clear" w:color="auto" w:fill="auto"/>
            <w:noWrap/>
            <w:vAlign w:val="bottom"/>
            <w:hideMark/>
          </w:tcPr>
          <w:p w:rsidR="00544587" w:rsidRPr="00544587" w:rsidRDefault="00544587" w:rsidP="00532660">
            <w:pPr>
              <w:overflowPunct/>
              <w:autoSpaceDE/>
              <w:autoSpaceDN/>
              <w:adjustRightInd/>
              <w:ind w:left="-94"/>
              <w:textAlignment w:val="auto"/>
              <w:rPr>
                <w:color w:val="000000"/>
              </w:rPr>
            </w:pPr>
          </w:p>
        </w:tc>
        <w:tc>
          <w:tcPr>
            <w:tcW w:w="880" w:type="dxa"/>
            <w:tcBorders>
              <w:top w:val="nil"/>
              <w:left w:val="nil"/>
              <w:bottom w:val="nil"/>
              <w:right w:val="nil"/>
            </w:tcBorders>
            <w:shd w:val="clear" w:color="auto" w:fill="auto"/>
            <w:noWrap/>
            <w:vAlign w:val="bottom"/>
            <w:hideMark/>
          </w:tcPr>
          <w:p w:rsidR="00544587" w:rsidRPr="00544587" w:rsidRDefault="00532660" w:rsidP="000D4BF4">
            <w:pPr>
              <w:overflowPunct/>
              <w:autoSpaceDE/>
              <w:autoSpaceDN/>
              <w:adjustRightInd/>
              <w:textAlignment w:val="auto"/>
              <w:rPr>
                <w:color w:val="000000"/>
              </w:rPr>
            </w:pPr>
            <w:r>
              <w:rPr>
                <w:color w:val="000000"/>
              </w:rPr>
              <w:t>(</w:t>
            </w:r>
            <w:r w:rsidR="00544587" w:rsidRPr="00544587">
              <w:rPr>
                <w:color w:val="000000"/>
              </w:rPr>
              <w:t>-1.4</w:t>
            </w:r>
            <w:r>
              <w:rPr>
                <w:color w:val="000000"/>
              </w:rPr>
              <w:t>)</w:t>
            </w:r>
          </w:p>
        </w:tc>
        <w:tc>
          <w:tcPr>
            <w:tcW w:w="0" w:type="auto"/>
            <w:tcBorders>
              <w:top w:val="nil"/>
              <w:left w:val="nil"/>
              <w:bottom w:val="nil"/>
              <w:right w:val="nil"/>
            </w:tcBorders>
            <w:shd w:val="clear" w:color="auto" w:fill="auto"/>
            <w:noWrap/>
            <w:vAlign w:val="bottom"/>
            <w:hideMark/>
          </w:tcPr>
          <w:p w:rsidR="00544587" w:rsidRPr="00544587" w:rsidRDefault="00544587" w:rsidP="00532660">
            <w:pPr>
              <w:overflowPunct/>
              <w:autoSpaceDE/>
              <w:autoSpaceDN/>
              <w:adjustRightInd/>
              <w:ind w:right="-53"/>
              <w:jc w:val="right"/>
              <w:textAlignment w:val="auto"/>
              <w:rPr>
                <w:color w:val="000000"/>
              </w:rPr>
            </w:pPr>
            <w:r w:rsidRPr="00544587">
              <w:rPr>
                <w:color w:val="000000"/>
              </w:rPr>
              <w:t>0.236</w:t>
            </w:r>
          </w:p>
        </w:tc>
        <w:tc>
          <w:tcPr>
            <w:tcW w:w="0" w:type="auto"/>
            <w:tcBorders>
              <w:top w:val="nil"/>
              <w:left w:val="nil"/>
              <w:bottom w:val="nil"/>
              <w:right w:val="nil"/>
            </w:tcBorders>
            <w:shd w:val="clear" w:color="auto" w:fill="auto"/>
            <w:noWrap/>
            <w:vAlign w:val="bottom"/>
            <w:hideMark/>
          </w:tcPr>
          <w:p w:rsidR="00544587" w:rsidRPr="00544587" w:rsidRDefault="00544587" w:rsidP="00532660">
            <w:pPr>
              <w:overflowPunct/>
              <w:autoSpaceDE/>
              <w:autoSpaceDN/>
              <w:adjustRightInd/>
              <w:ind w:left="-40"/>
              <w:textAlignment w:val="auto"/>
              <w:rPr>
                <w:color w:val="000000"/>
              </w:rPr>
            </w:pPr>
            <w:r w:rsidRPr="00544587">
              <w:rPr>
                <w:color w:val="000000"/>
                <w:vertAlign w:val="superscript"/>
              </w:rPr>
              <w:t>**</w:t>
            </w:r>
          </w:p>
        </w:tc>
        <w:tc>
          <w:tcPr>
            <w:tcW w:w="0" w:type="auto"/>
            <w:tcBorders>
              <w:top w:val="nil"/>
              <w:left w:val="nil"/>
              <w:bottom w:val="nil"/>
              <w:right w:val="nil"/>
            </w:tcBorders>
            <w:shd w:val="clear" w:color="auto" w:fill="auto"/>
            <w:noWrap/>
            <w:vAlign w:val="bottom"/>
            <w:hideMark/>
          </w:tcPr>
          <w:p w:rsidR="00544587" w:rsidRPr="00544587" w:rsidRDefault="00532660" w:rsidP="000D4BF4">
            <w:pPr>
              <w:overflowPunct/>
              <w:autoSpaceDE/>
              <w:autoSpaceDN/>
              <w:adjustRightInd/>
              <w:textAlignment w:val="auto"/>
              <w:rPr>
                <w:color w:val="000000"/>
              </w:rPr>
            </w:pPr>
            <w:r>
              <w:rPr>
                <w:color w:val="000000"/>
              </w:rPr>
              <w:t>(</w:t>
            </w:r>
            <w:r w:rsidR="00544587" w:rsidRPr="00544587">
              <w:rPr>
                <w:color w:val="000000"/>
              </w:rPr>
              <w:t>2.1</w:t>
            </w:r>
            <w:r>
              <w:rPr>
                <w:color w:val="000000"/>
              </w:rPr>
              <w:t>)</w:t>
            </w:r>
          </w:p>
        </w:tc>
        <w:tc>
          <w:tcPr>
            <w:tcW w:w="0" w:type="auto"/>
            <w:tcBorders>
              <w:top w:val="nil"/>
              <w:left w:val="nil"/>
              <w:bottom w:val="nil"/>
              <w:right w:val="nil"/>
            </w:tcBorders>
            <w:shd w:val="clear" w:color="auto" w:fill="auto"/>
            <w:noWrap/>
            <w:vAlign w:val="bottom"/>
            <w:hideMark/>
          </w:tcPr>
          <w:p w:rsidR="00544587" w:rsidRPr="00544587" w:rsidRDefault="00544587" w:rsidP="00532660">
            <w:pPr>
              <w:overflowPunct/>
              <w:autoSpaceDE/>
              <w:autoSpaceDN/>
              <w:adjustRightInd/>
              <w:ind w:right="-49"/>
              <w:jc w:val="right"/>
              <w:textAlignment w:val="auto"/>
              <w:rPr>
                <w:color w:val="000000"/>
              </w:rPr>
            </w:pPr>
            <w:r w:rsidRPr="00544587">
              <w:rPr>
                <w:color w:val="000000"/>
              </w:rPr>
              <w:t>0.031</w:t>
            </w:r>
          </w:p>
        </w:tc>
        <w:tc>
          <w:tcPr>
            <w:tcW w:w="0" w:type="auto"/>
            <w:tcBorders>
              <w:top w:val="nil"/>
              <w:left w:val="nil"/>
              <w:bottom w:val="nil"/>
              <w:right w:val="nil"/>
            </w:tcBorders>
            <w:shd w:val="clear" w:color="auto" w:fill="auto"/>
            <w:noWrap/>
            <w:vAlign w:val="bottom"/>
            <w:hideMark/>
          </w:tcPr>
          <w:p w:rsidR="00544587" w:rsidRPr="00544587" w:rsidRDefault="00544587" w:rsidP="00532660">
            <w:pPr>
              <w:overflowPunct/>
              <w:autoSpaceDE/>
              <w:autoSpaceDN/>
              <w:adjustRightInd/>
              <w:ind w:left="-94"/>
              <w:textAlignment w:val="auto"/>
              <w:rPr>
                <w:color w:val="000000"/>
              </w:rPr>
            </w:pPr>
          </w:p>
        </w:tc>
        <w:tc>
          <w:tcPr>
            <w:tcW w:w="0" w:type="auto"/>
            <w:tcBorders>
              <w:top w:val="nil"/>
              <w:left w:val="nil"/>
              <w:bottom w:val="nil"/>
              <w:right w:val="nil"/>
            </w:tcBorders>
            <w:shd w:val="clear" w:color="auto" w:fill="auto"/>
            <w:noWrap/>
            <w:vAlign w:val="bottom"/>
            <w:hideMark/>
          </w:tcPr>
          <w:p w:rsidR="00544587" w:rsidRPr="00544587" w:rsidRDefault="00532660" w:rsidP="000D4BF4">
            <w:pPr>
              <w:overflowPunct/>
              <w:autoSpaceDE/>
              <w:autoSpaceDN/>
              <w:adjustRightInd/>
              <w:textAlignment w:val="auto"/>
              <w:rPr>
                <w:color w:val="000000"/>
              </w:rPr>
            </w:pPr>
            <w:r>
              <w:rPr>
                <w:color w:val="000000"/>
              </w:rPr>
              <w:t>(</w:t>
            </w:r>
            <w:r w:rsidR="00544587" w:rsidRPr="00544587">
              <w:rPr>
                <w:color w:val="000000"/>
              </w:rPr>
              <w:t>0.4</w:t>
            </w:r>
            <w:r>
              <w:rPr>
                <w:color w:val="000000"/>
              </w:rPr>
              <w:t>)</w:t>
            </w:r>
          </w:p>
        </w:tc>
      </w:tr>
      <w:tr w:rsidR="00F85A66" w:rsidRPr="00544587" w:rsidTr="00157EC7">
        <w:trPr>
          <w:trHeight w:val="20"/>
        </w:trPr>
        <w:tc>
          <w:tcPr>
            <w:tcW w:w="0" w:type="auto"/>
            <w:tcBorders>
              <w:top w:val="nil"/>
              <w:left w:val="nil"/>
              <w:bottom w:val="nil"/>
              <w:right w:val="nil"/>
            </w:tcBorders>
            <w:shd w:val="clear" w:color="auto" w:fill="auto"/>
            <w:noWrap/>
            <w:vAlign w:val="bottom"/>
            <w:hideMark/>
          </w:tcPr>
          <w:p w:rsidR="00544587" w:rsidRPr="00544587" w:rsidRDefault="00544587" w:rsidP="008E082E">
            <w:pPr>
              <w:overflowPunct/>
              <w:autoSpaceDE/>
              <w:autoSpaceDN/>
              <w:adjustRightInd/>
              <w:textAlignment w:val="auto"/>
              <w:rPr>
                <w:color w:val="000000"/>
              </w:rPr>
            </w:pPr>
            <w:r w:rsidRPr="00544587">
              <w:rPr>
                <w:color w:val="000000"/>
              </w:rPr>
              <w:t xml:space="preserve">CRE </w:t>
            </w:r>
            <w:r w:rsidR="008E082E">
              <w:rPr>
                <w:color w:val="000000"/>
              </w:rPr>
              <w:t>T</w:t>
            </w:r>
            <w:r w:rsidRPr="00544587">
              <w:rPr>
                <w:color w:val="000000"/>
              </w:rPr>
              <w:t>ightening</w:t>
            </w:r>
            <w:r w:rsidR="00F85A66" w:rsidRPr="00F85A66">
              <w:rPr>
                <w:color w:val="000000"/>
                <w:vertAlign w:val="subscript"/>
              </w:rPr>
              <w:t>t-1</w:t>
            </w:r>
          </w:p>
        </w:tc>
        <w:tc>
          <w:tcPr>
            <w:tcW w:w="0" w:type="auto"/>
            <w:tcBorders>
              <w:top w:val="nil"/>
              <w:left w:val="nil"/>
              <w:bottom w:val="nil"/>
              <w:right w:val="nil"/>
            </w:tcBorders>
            <w:shd w:val="clear" w:color="auto" w:fill="auto"/>
            <w:noWrap/>
            <w:vAlign w:val="bottom"/>
            <w:hideMark/>
          </w:tcPr>
          <w:p w:rsidR="00544587" w:rsidRPr="00544587" w:rsidRDefault="00544587" w:rsidP="00532660">
            <w:pPr>
              <w:overflowPunct/>
              <w:autoSpaceDE/>
              <w:autoSpaceDN/>
              <w:adjustRightInd/>
              <w:ind w:right="-91"/>
              <w:jc w:val="right"/>
              <w:textAlignment w:val="auto"/>
              <w:rPr>
                <w:color w:val="000000"/>
              </w:rPr>
            </w:pPr>
            <w:r w:rsidRPr="00544587">
              <w:rPr>
                <w:color w:val="000000"/>
              </w:rPr>
              <w:t>-0.033</w:t>
            </w:r>
          </w:p>
        </w:tc>
        <w:tc>
          <w:tcPr>
            <w:tcW w:w="0" w:type="auto"/>
            <w:tcBorders>
              <w:top w:val="nil"/>
              <w:left w:val="nil"/>
              <w:bottom w:val="nil"/>
              <w:right w:val="nil"/>
            </w:tcBorders>
            <w:shd w:val="clear" w:color="auto" w:fill="auto"/>
            <w:noWrap/>
            <w:vAlign w:val="bottom"/>
            <w:hideMark/>
          </w:tcPr>
          <w:p w:rsidR="00544587" w:rsidRPr="00544587" w:rsidRDefault="00544587" w:rsidP="00532660">
            <w:pPr>
              <w:overflowPunct/>
              <w:autoSpaceDE/>
              <w:autoSpaceDN/>
              <w:adjustRightInd/>
              <w:ind w:left="-109"/>
              <w:textAlignment w:val="auto"/>
              <w:rPr>
                <w:color w:val="000000"/>
              </w:rPr>
            </w:pPr>
          </w:p>
        </w:tc>
        <w:tc>
          <w:tcPr>
            <w:tcW w:w="0" w:type="auto"/>
            <w:tcBorders>
              <w:top w:val="nil"/>
              <w:left w:val="nil"/>
              <w:bottom w:val="nil"/>
              <w:right w:val="nil"/>
            </w:tcBorders>
            <w:shd w:val="clear" w:color="auto" w:fill="auto"/>
            <w:noWrap/>
            <w:vAlign w:val="bottom"/>
            <w:hideMark/>
          </w:tcPr>
          <w:p w:rsidR="00544587" w:rsidRPr="00544587" w:rsidRDefault="00532660" w:rsidP="000D4BF4">
            <w:pPr>
              <w:overflowPunct/>
              <w:autoSpaceDE/>
              <w:autoSpaceDN/>
              <w:adjustRightInd/>
              <w:textAlignment w:val="auto"/>
              <w:rPr>
                <w:color w:val="000000"/>
              </w:rPr>
            </w:pPr>
            <w:r>
              <w:rPr>
                <w:color w:val="000000"/>
              </w:rPr>
              <w:t>(</w:t>
            </w:r>
            <w:r w:rsidR="00544587" w:rsidRPr="00544587">
              <w:rPr>
                <w:color w:val="000000"/>
              </w:rPr>
              <w:t>-1.5</w:t>
            </w:r>
            <w:r>
              <w:rPr>
                <w:color w:val="000000"/>
              </w:rPr>
              <w:t>)</w:t>
            </w:r>
          </w:p>
        </w:tc>
        <w:tc>
          <w:tcPr>
            <w:tcW w:w="0" w:type="auto"/>
            <w:tcBorders>
              <w:top w:val="nil"/>
              <w:left w:val="nil"/>
              <w:bottom w:val="nil"/>
              <w:right w:val="nil"/>
            </w:tcBorders>
            <w:shd w:val="clear" w:color="auto" w:fill="auto"/>
            <w:noWrap/>
            <w:vAlign w:val="bottom"/>
            <w:hideMark/>
          </w:tcPr>
          <w:p w:rsidR="00544587" w:rsidRPr="00544587" w:rsidRDefault="00544587" w:rsidP="00157EC7">
            <w:pPr>
              <w:overflowPunct/>
              <w:autoSpaceDE/>
              <w:autoSpaceDN/>
              <w:adjustRightInd/>
              <w:ind w:right="-119"/>
              <w:jc w:val="right"/>
              <w:textAlignment w:val="auto"/>
              <w:rPr>
                <w:color w:val="000000"/>
              </w:rPr>
            </w:pPr>
            <w:r w:rsidRPr="00544587">
              <w:rPr>
                <w:color w:val="000000"/>
              </w:rPr>
              <w:t>0.881</w:t>
            </w:r>
          </w:p>
        </w:tc>
        <w:tc>
          <w:tcPr>
            <w:tcW w:w="0" w:type="auto"/>
            <w:tcBorders>
              <w:top w:val="nil"/>
              <w:left w:val="nil"/>
              <w:bottom w:val="nil"/>
              <w:right w:val="nil"/>
            </w:tcBorders>
            <w:shd w:val="clear" w:color="auto" w:fill="auto"/>
            <w:noWrap/>
            <w:vAlign w:val="bottom"/>
            <w:hideMark/>
          </w:tcPr>
          <w:p w:rsidR="00544587" w:rsidRPr="00544587" w:rsidRDefault="00544587" w:rsidP="00532660">
            <w:pPr>
              <w:overflowPunct/>
              <w:autoSpaceDE/>
              <w:autoSpaceDN/>
              <w:adjustRightInd/>
              <w:ind w:left="-94"/>
              <w:textAlignment w:val="auto"/>
              <w:rPr>
                <w:color w:val="000000"/>
              </w:rPr>
            </w:pPr>
            <w:r w:rsidRPr="00544587">
              <w:rPr>
                <w:color w:val="000000"/>
                <w:vertAlign w:val="superscript"/>
              </w:rPr>
              <w:t>***</w:t>
            </w:r>
          </w:p>
        </w:tc>
        <w:tc>
          <w:tcPr>
            <w:tcW w:w="880" w:type="dxa"/>
            <w:tcBorders>
              <w:top w:val="nil"/>
              <w:left w:val="nil"/>
              <w:bottom w:val="nil"/>
              <w:right w:val="nil"/>
            </w:tcBorders>
            <w:shd w:val="clear" w:color="auto" w:fill="auto"/>
            <w:noWrap/>
            <w:vAlign w:val="bottom"/>
            <w:hideMark/>
          </w:tcPr>
          <w:p w:rsidR="00544587" w:rsidRPr="00544587" w:rsidRDefault="00532660" w:rsidP="000D4BF4">
            <w:pPr>
              <w:overflowPunct/>
              <w:autoSpaceDE/>
              <w:autoSpaceDN/>
              <w:adjustRightInd/>
              <w:textAlignment w:val="auto"/>
              <w:rPr>
                <w:color w:val="000000"/>
              </w:rPr>
            </w:pPr>
            <w:r>
              <w:rPr>
                <w:color w:val="000000"/>
              </w:rPr>
              <w:t>(</w:t>
            </w:r>
            <w:r w:rsidR="00544587" w:rsidRPr="00544587">
              <w:rPr>
                <w:color w:val="000000"/>
              </w:rPr>
              <w:t>17.7</w:t>
            </w:r>
            <w:r>
              <w:rPr>
                <w:color w:val="000000"/>
              </w:rPr>
              <w:t>)</w:t>
            </w:r>
          </w:p>
        </w:tc>
        <w:tc>
          <w:tcPr>
            <w:tcW w:w="0" w:type="auto"/>
            <w:tcBorders>
              <w:top w:val="nil"/>
              <w:left w:val="nil"/>
              <w:bottom w:val="nil"/>
              <w:right w:val="nil"/>
            </w:tcBorders>
            <w:shd w:val="clear" w:color="auto" w:fill="auto"/>
            <w:noWrap/>
            <w:vAlign w:val="bottom"/>
            <w:hideMark/>
          </w:tcPr>
          <w:p w:rsidR="00544587" w:rsidRPr="00544587" w:rsidRDefault="00544587" w:rsidP="00532660">
            <w:pPr>
              <w:overflowPunct/>
              <w:autoSpaceDE/>
              <w:autoSpaceDN/>
              <w:adjustRightInd/>
              <w:ind w:right="-53"/>
              <w:jc w:val="right"/>
              <w:textAlignment w:val="auto"/>
              <w:rPr>
                <w:color w:val="000000"/>
              </w:rPr>
            </w:pPr>
            <w:r w:rsidRPr="00544587">
              <w:rPr>
                <w:color w:val="000000"/>
              </w:rPr>
              <w:t>-0.338</w:t>
            </w:r>
          </w:p>
        </w:tc>
        <w:tc>
          <w:tcPr>
            <w:tcW w:w="0" w:type="auto"/>
            <w:tcBorders>
              <w:top w:val="nil"/>
              <w:left w:val="nil"/>
              <w:bottom w:val="nil"/>
              <w:right w:val="nil"/>
            </w:tcBorders>
            <w:shd w:val="clear" w:color="auto" w:fill="auto"/>
            <w:noWrap/>
            <w:vAlign w:val="bottom"/>
            <w:hideMark/>
          </w:tcPr>
          <w:p w:rsidR="00544587" w:rsidRPr="00544587" w:rsidRDefault="00544587" w:rsidP="00532660">
            <w:pPr>
              <w:overflowPunct/>
              <w:autoSpaceDE/>
              <w:autoSpaceDN/>
              <w:adjustRightInd/>
              <w:ind w:left="-40"/>
              <w:textAlignment w:val="auto"/>
              <w:rPr>
                <w:color w:val="000000"/>
              </w:rPr>
            </w:pPr>
            <w:r w:rsidRPr="00544587">
              <w:rPr>
                <w:color w:val="000000"/>
                <w:vertAlign w:val="superscript"/>
              </w:rPr>
              <w:t>***</w:t>
            </w:r>
          </w:p>
        </w:tc>
        <w:tc>
          <w:tcPr>
            <w:tcW w:w="0" w:type="auto"/>
            <w:tcBorders>
              <w:top w:val="nil"/>
              <w:left w:val="nil"/>
              <w:bottom w:val="nil"/>
              <w:right w:val="nil"/>
            </w:tcBorders>
            <w:shd w:val="clear" w:color="auto" w:fill="auto"/>
            <w:noWrap/>
            <w:vAlign w:val="bottom"/>
            <w:hideMark/>
          </w:tcPr>
          <w:p w:rsidR="00544587" w:rsidRPr="00544587" w:rsidRDefault="00532660" w:rsidP="000D4BF4">
            <w:pPr>
              <w:overflowPunct/>
              <w:autoSpaceDE/>
              <w:autoSpaceDN/>
              <w:adjustRightInd/>
              <w:textAlignment w:val="auto"/>
              <w:rPr>
                <w:color w:val="000000"/>
              </w:rPr>
            </w:pPr>
            <w:r>
              <w:rPr>
                <w:color w:val="000000"/>
              </w:rPr>
              <w:t>(</w:t>
            </w:r>
            <w:r w:rsidR="00544587" w:rsidRPr="00544587">
              <w:rPr>
                <w:color w:val="000000"/>
              </w:rPr>
              <w:t>-2.9</w:t>
            </w:r>
            <w:r>
              <w:rPr>
                <w:color w:val="000000"/>
              </w:rPr>
              <w:t>)</w:t>
            </w:r>
          </w:p>
        </w:tc>
        <w:tc>
          <w:tcPr>
            <w:tcW w:w="0" w:type="auto"/>
            <w:tcBorders>
              <w:top w:val="nil"/>
              <w:left w:val="nil"/>
              <w:bottom w:val="nil"/>
              <w:right w:val="nil"/>
            </w:tcBorders>
            <w:shd w:val="clear" w:color="auto" w:fill="auto"/>
            <w:noWrap/>
            <w:vAlign w:val="bottom"/>
            <w:hideMark/>
          </w:tcPr>
          <w:p w:rsidR="00544587" w:rsidRPr="00544587" w:rsidRDefault="00544587" w:rsidP="00532660">
            <w:pPr>
              <w:overflowPunct/>
              <w:autoSpaceDE/>
              <w:autoSpaceDN/>
              <w:adjustRightInd/>
              <w:ind w:right="-49"/>
              <w:jc w:val="right"/>
              <w:textAlignment w:val="auto"/>
              <w:rPr>
                <w:color w:val="000000"/>
              </w:rPr>
            </w:pPr>
            <w:r w:rsidRPr="00544587">
              <w:rPr>
                <w:color w:val="000000"/>
              </w:rPr>
              <w:t>-0.273</w:t>
            </w:r>
          </w:p>
        </w:tc>
        <w:tc>
          <w:tcPr>
            <w:tcW w:w="0" w:type="auto"/>
            <w:tcBorders>
              <w:top w:val="nil"/>
              <w:left w:val="nil"/>
              <w:bottom w:val="nil"/>
              <w:right w:val="nil"/>
            </w:tcBorders>
            <w:shd w:val="clear" w:color="auto" w:fill="auto"/>
            <w:noWrap/>
            <w:vAlign w:val="bottom"/>
            <w:hideMark/>
          </w:tcPr>
          <w:p w:rsidR="00544587" w:rsidRPr="00544587" w:rsidRDefault="00544587" w:rsidP="00532660">
            <w:pPr>
              <w:overflowPunct/>
              <w:autoSpaceDE/>
              <w:autoSpaceDN/>
              <w:adjustRightInd/>
              <w:ind w:left="-94"/>
              <w:textAlignment w:val="auto"/>
              <w:rPr>
                <w:color w:val="000000"/>
              </w:rPr>
            </w:pPr>
            <w:r w:rsidRPr="00544587">
              <w:rPr>
                <w:color w:val="000000"/>
                <w:vertAlign w:val="superscript"/>
              </w:rPr>
              <w:t>***</w:t>
            </w:r>
          </w:p>
        </w:tc>
        <w:tc>
          <w:tcPr>
            <w:tcW w:w="0" w:type="auto"/>
            <w:tcBorders>
              <w:top w:val="nil"/>
              <w:left w:val="nil"/>
              <w:bottom w:val="nil"/>
              <w:right w:val="nil"/>
            </w:tcBorders>
            <w:shd w:val="clear" w:color="auto" w:fill="auto"/>
            <w:noWrap/>
            <w:vAlign w:val="bottom"/>
            <w:hideMark/>
          </w:tcPr>
          <w:p w:rsidR="00544587" w:rsidRPr="00544587" w:rsidRDefault="00532660" w:rsidP="000D4BF4">
            <w:pPr>
              <w:overflowPunct/>
              <w:autoSpaceDE/>
              <w:autoSpaceDN/>
              <w:adjustRightInd/>
              <w:textAlignment w:val="auto"/>
              <w:rPr>
                <w:color w:val="000000"/>
              </w:rPr>
            </w:pPr>
            <w:r>
              <w:rPr>
                <w:color w:val="000000"/>
              </w:rPr>
              <w:t>(</w:t>
            </w:r>
            <w:r w:rsidR="00544587" w:rsidRPr="00544587">
              <w:rPr>
                <w:color w:val="000000"/>
              </w:rPr>
              <w:t>-3.2</w:t>
            </w:r>
            <w:r>
              <w:rPr>
                <w:color w:val="000000"/>
              </w:rPr>
              <w:t>)</w:t>
            </w:r>
          </w:p>
        </w:tc>
      </w:tr>
      <w:tr w:rsidR="00F85A66" w:rsidRPr="00544587" w:rsidTr="00157EC7">
        <w:trPr>
          <w:trHeight w:val="20"/>
        </w:trPr>
        <w:tc>
          <w:tcPr>
            <w:tcW w:w="0" w:type="auto"/>
            <w:tcBorders>
              <w:top w:val="nil"/>
              <w:left w:val="nil"/>
              <w:bottom w:val="nil"/>
              <w:right w:val="nil"/>
            </w:tcBorders>
            <w:shd w:val="clear" w:color="auto" w:fill="auto"/>
            <w:noWrap/>
            <w:vAlign w:val="bottom"/>
            <w:hideMark/>
          </w:tcPr>
          <w:p w:rsidR="00544587" w:rsidRPr="00544587" w:rsidRDefault="00544587" w:rsidP="00544587">
            <w:pPr>
              <w:overflowPunct/>
              <w:autoSpaceDE/>
              <w:autoSpaceDN/>
              <w:adjustRightInd/>
              <w:textAlignment w:val="auto"/>
              <w:rPr>
                <w:color w:val="000000"/>
              </w:rPr>
            </w:pPr>
            <w:r w:rsidRPr="00544587">
              <w:rPr>
                <w:color w:val="000000"/>
              </w:rPr>
              <w:t>Baa</w:t>
            </w:r>
            <w:r w:rsidR="00F85A66">
              <w:rPr>
                <w:color w:val="000000"/>
                <w:vertAlign w:val="subscript"/>
              </w:rPr>
              <w:t>t</w:t>
            </w:r>
            <w:r w:rsidR="00B040AC">
              <w:rPr>
                <w:color w:val="000000"/>
                <w:vertAlign w:val="subscript"/>
              </w:rPr>
              <w:t>-1</w:t>
            </w:r>
          </w:p>
        </w:tc>
        <w:tc>
          <w:tcPr>
            <w:tcW w:w="0" w:type="auto"/>
            <w:tcBorders>
              <w:top w:val="nil"/>
              <w:left w:val="nil"/>
              <w:bottom w:val="nil"/>
              <w:right w:val="nil"/>
            </w:tcBorders>
            <w:shd w:val="clear" w:color="auto" w:fill="auto"/>
            <w:noWrap/>
            <w:vAlign w:val="bottom"/>
            <w:hideMark/>
          </w:tcPr>
          <w:p w:rsidR="00544587" w:rsidRPr="00544587" w:rsidRDefault="00544587" w:rsidP="00532660">
            <w:pPr>
              <w:overflowPunct/>
              <w:autoSpaceDE/>
              <w:autoSpaceDN/>
              <w:adjustRightInd/>
              <w:ind w:right="-91"/>
              <w:jc w:val="right"/>
              <w:textAlignment w:val="auto"/>
              <w:rPr>
                <w:color w:val="000000"/>
              </w:rPr>
            </w:pPr>
            <w:r w:rsidRPr="00544587">
              <w:rPr>
                <w:color w:val="000000"/>
              </w:rPr>
              <w:t>-0.001</w:t>
            </w:r>
          </w:p>
        </w:tc>
        <w:tc>
          <w:tcPr>
            <w:tcW w:w="0" w:type="auto"/>
            <w:tcBorders>
              <w:top w:val="nil"/>
              <w:left w:val="nil"/>
              <w:bottom w:val="nil"/>
              <w:right w:val="nil"/>
            </w:tcBorders>
            <w:shd w:val="clear" w:color="auto" w:fill="auto"/>
            <w:noWrap/>
            <w:vAlign w:val="bottom"/>
            <w:hideMark/>
          </w:tcPr>
          <w:p w:rsidR="00544587" w:rsidRPr="00544587" w:rsidRDefault="00544587" w:rsidP="00532660">
            <w:pPr>
              <w:overflowPunct/>
              <w:autoSpaceDE/>
              <w:autoSpaceDN/>
              <w:adjustRightInd/>
              <w:ind w:left="-109"/>
              <w:textAlignment w:val="auto"/>
              <w:rPr>
                <w:color w:val="000000"/>
              </w:rPr>
            </w:pPr>
          </w:p>
        </w:tc>
        <w:tc>
          <w:tcPr>
            <w:tcW w:w="0" w:type="auto"/>
            <w:tcBorders>
              <w:top w:val="nil"/>
              <w:left w:val="nil"/>
              <w:bottom w:val="nil"/>
              <w:right w:val="nil"/>
            </w:tcBorders>
            <w:shd w:val="clear" w:color="auto" w:fill="auto"/>
            <w:noWrap/>
            <w:vAlign w:val="bottom"/>
            <w:hideMark/>
          </w:tcPr>
          <w:p w:rsidR="00544587" w:rsidRPr="00544587" w:rsidRDefault="00532660" w:rsidP="000D4BF4">
            <w:pPr>
              <w:overflowPunct/>
              <w:autoSpaceDE/>
              <w:autoSpaceDN/>
              <w:adjustRightInd/>
              <w:textAlignment w:val="auto"/>
              <w:rPr>
                <w:color w:val="000000"/>
              </w:rPr>
            </w:pPr>
            <w:r>
              <w:rPr>
                <w:color w:val="000000"/>
              </w:rPr>
              <w:t>(</w:t>
            </w:r>
            <w:r w:rsidR="00544587" w:rsidRPr="00544587">
              <w:rPr>
                <w:color w:val="000000"/>
              </w:rPr>
              <w:t>-0.5</w:t>
            </w:r>
            <w:r>
              <w:rPr>
                <w:color w:val="000000"/>
              </w:rPr>
              <w:t>)</w:t>
            </w:r>
          </w:p>
        </w:tc>
        <w:tc>
          <w:tcPr>
            <w:tcW w:w="0" w:type="auto"/>
            <w:tcBorders>
              <w:top w:val="nil"/>
              <w:left w:val="nil"/>
              <w:bottom w:val="nil"/>
              <w:right w:val="nil"/>
            </w:tcBorders>
            <w:shd w:val="clear" w:color="auto" w:fill="auto"/>
            <w:noWrap/>
            <w:vAlign w:val="bottom"/>
            <w:hideMark/>
          </w:tcPr>
          <w:p w:rsidR="00544587" w:rsidRPr="00544587" w:rsidRDefault="00544587" w:rsidP="00157EC7">
            <w:pPr>
              <w:overflowPunct/>
              <w:autoSpaceDE/>
              <w:autoSpaceDN/>
              <w:adjustRightInd/>
              <w:ind w:right="-119"/>
              <w:jc w:val="right"/>
              <w:textAlignment w:val="auto"/>
              <w:rPr>
                <w:color w:val="000000"/>
              </w:rPr>
            </w:pPr>
            <w:r w:rsidRPr="00544587">
              <w:rPr>
                <w:color w:val="000000"/>
              </w:rPr>
              <w:t>-0.005</w:t>
            </w:r>
          </w:p>
        </w:tc>
        <w:tc>
          <w:tcPr>
            <w:tcW w:w="0" w:type="auto"/>
            <w:tcBorders>
              <w:top w:val="nil"/>
              <w:left w:val="nil"/>
              <w:bottom w:val="nil"/>
              <w:right w:val="nil"/>
            </w:tcBorders>
            <w:shd w:val="clear" w:color="auto" w:fill="auto"/>
            <w:noWrap/>
            <w:vAlign w:val="bottom"/>
            <w:hideMark/>
          </w:tcPr>
          <w:p w:rsidR="00544587" w:rsidRPr="00544587" w:rsidRDefault="00544587" w:rsidP="00532660">
            <w:pPr>
              <w:overflowPunct/>
              <w:autoSpaceDE/>
              <w:autoSpaceDN/>
              <w:adjustRightInd/>
              <w:ind w:left="-94"/>
              <w:textAlignment w:val="auto"/>
              <w:rPr>
                <w:color w:val="000000"/>
              </w:rPr>
            </w:pPr>
          </w:p>
        </w:tc>
        <w:tc>
          <w:tcPr>
            <w:tcW w:w="880" w:type="dxa"/>
            <w:tcBorders>
              <w:top w:val="nil"/>
              <w:left w:val="nil"/>
              <w:bottom w:val="nil"/>
              <w:right w:val="nil"/>
            </w:tcBorders>
            <w:shd w:val="clear" w:color="auto" w:fill="auto"/>
            <w:noWrap/>
            <w:vAlign w:val="bottom"/>
            <w:hideMark/>
          </w:tcPr>
          <w:p w:rsidR="00544587" w:rsidRPr="00544587" w:rsidRDefault="00532660" w:rsidP="000D4BF4">
            <w:pPr>
              <w:overflowPunct/>
              <w:autoSpaceDE/>
              <w:autoSpaceDN/>
              <w:adjustRightInd/>
              <w:textAlignment w:val="auto"/>
              <w:rPr>
                <w:color w:val="000000"/>
              </w:rPr>
            </w:pPr>
            <w:r>
              <w:rPr>
                <w:color w:val="000000"/>
              </w:rPr>
              <w:t>(</w:t>
            </w:r>
            <w:r w:rsidR="00544587" w:rsidRPr="00544587">
              <w:rPr>
                <w:color w:val="000000"/>
              </w:rPr>
              <w:t>-1.0</w:t>
            </w:r>
            <w:r>
              <w:rPr>
                <w:color w:val="000000"/>
              </w:rPr>
              <w:t>)</w:t>
            </w:r>
          </w:p>
        </w:tc>
        <w:tc>
          <w:tcPr>
            <w:tcW w:w="0" w:type="auto"/>
            <w:tcBorders>
              <w:top w:val="nil"/>
              <w:left w:val="nil"/>
              <w:bottom w:val="nil"/>
              <w:right w:val="nil"/>
            </w:tcBorders>
            <w:shd w:val="clear" w:color="auto" w:fill="auto"/>
            <w:noWrap/>
            <w:vAlign w:val="bottom"/>
            <w:hideMark/>
          </w:tcPr>
          <w:p w:rsidR="00544587" w:rsidRPr="00544587" w:rsidRDefault="00544587" w:rsidP="00532660">
            <w:pPr>
              <w:overflowPunct/>
              <w:autoSpaceDE/>
              <w:autoSpaceDN/>
              <w:adjustRightInd/>
              <w:ind w:right="-53"/>
              <w:jc w:val="right"/>
              <w:textAlignment w:val="auto"/>
              <w:rPr>
                <w:color w:val="000000"/>
              </w:rPr>
            </w:pPr>
            <w:r w:rsidRPr="00544587">
              <w:rPr>
                <w:color w:val="000000"/>
              </w:rPr>
              <w:t>0.000</w:t>
            </w:r>
          </w:p>
        </w:tc>
        <w:tc>
          <w:tcPr>
            <w:tcW w:w="0" w:type="auto"/>
            <w:tcBorders>
              <w:top w:val="nil"/>
              <w:left w:val="nil"/>
              <w:bottom w:val="nil"/>
              <w:right w:val="nil"/>
            </w:tcBorders>
            <w:shd w:val="clear" w:color="auto" w:fill="auto"/>
            <w:noWrap/>
            <w:vAlign w:val="bottom"/>
            <w:hideMark/>
          </w:tcPr>
          <w:p w:rsidR="00544587" w:rsidRPr="00544587" w:rsidRDefault="00544587" w:rsidP="00532660">
            <w:pPr>
              <w:overflowPunct/>
              <w:autoSpaceDE/>
              <w:autoSpaceDN/>
              <w:adjustRightInd/>
              <w:ind w:left="-40"/>
              <w:textAlignment w:val="auto"/>
              <w:rPr>
                <w:color w:val="000000"/>
              </w:rPr>
            </w:pPr>
          </w:p>
        </w:tc>
        <w:tc>
          <w:tcPr>
            <w:tcW w:w="0" w:type="auto"/>
            <w:tcBorders>
              <w:top w:val="nil"/>
              <w:left w:val="nil"/>
              <w:bottom w:val="nil"/>
              <w:right w:val="nil"/>
            </w:tcBorders>
            <w:shd w:val="clear" w:color="auto" w:fill="auto"/>
            <w:noWrap/>
            <w:vAlign w:val="bottom"/>
            <w:hideMark/>
          </w:tcPr>
          <w:p w:rsidR="00544587" w:rsidRPr="00544587" w:rsidRDefault="00532660" w:rsidP="000D4BF4">
            <w:pPr>
              <w:overflowPunct/>
              <w:autoSpaceDE/>
              <w:autoSpaceDN/>
              <w:adjustRightInd/>
              <w:textAlignment w:val="auto"/>
              <w:rPr>
                <w:color w:val="000000"/>
              </w:rPr>
            </w:pPr>
            <w:r>
              <w:rPr>
                <w:color w:val="000000"/>
              </w:rPr>
              <w:t>(</w:t>
            </w:r>
            <w:r w:rsidR="00544587" w:rsidRPr="00544587">
              <w:rPr>
                <w:color w:val="000000"/>
              </w:rPr>
              <w:t>0.0</w:t>
            </w:r>
            <w:r>
              <w:rPr>
                <w:color w:val="000000"/>
              </w:rPr>
              <w:t>)</w:t>
            </w:r>
          </w:p>
        </w:tc>
        <w:tc>
          <w:tcPr>
            <w:tcW w:w="0" w:type="auto"/>
            <w:tcBorders>
              <w:top w:val="nil"/>
              <w:left w:val="nil"/>
              <w:bottom w:val="nil"/>
              <w:right w:val="nil"/>
            </w:tcBorders>
            <w:shd w:val="clear" w:color="auto" w:fill="auto"/>
            <w:noWrap/>
            <w:vAlign w:val="bottom"/>
            <w:hideMark/>
          </w:tcPr>
          <w:p w:rsidR="00544587" w:rsidRPr="00544587" w:rsidRDefault="00544587" w:rsidP="00532660">
            <w:pPr>
              <w:overflowPunct/>
              <w:autoSpaceDE/>
              <w:autoSpaceDN/>
              <w:adjustRightInd/>
              <w:ind w:right="-49"/>
              <w:jc w:val="right"/>
              <w:textAlignment w:val="auto"/>
              <w:rPr>
                <w:color w:val="000000"/>
              </w:rPr>
            </w:pPr>
            <w:r w:rsidRPr="00544587">
              <w:rPr>
                <w:color w:val="000000"/>
              </w:rPr>
              <w:t>-0.001</w:t>
            </w:r>
          </w:p>
        </w:tc>
        <w:tc>
          <w:tcPr>
            <w:tcW w:w="0" w:type="auto"/>
            <w:tcBorders>
              <w:top w:val="nil"/>
              <w:left w:val="nil"/>
              <w:bottom w:val="nil"/>
              <w:right w:val="nil"/>
            </w:tcBorders>
            <w:shd w:val="clear" w:color="auto" w:fill="auto"/>
            <w:noWrap/>
            <w:vAlign w:val="bottom"/>
            <w:hideMark/>
          </w:tcPr>
          <w:p w:rsidR="00544587" w:rsidRPr="00544587" w:rsidRDefault="00544587" w:rsidP="00532660">
            <w:pPr>
              <w:overflowPunct/>
              <w:autoSpaceDE/>
              <w:autoSpaceDN/>
              <w:adjustRightInd/>
              <w:ind w:left="-94"/>
              <w:textAlignment w:val="auto"/>
              <w:rPr>
                <w:color w:val="000000"/>
              </w:rPr>
            </w:pPr>
          </w:p>
        </w:tc>
        <w:tc>
          <w:tcPr>
            <w:tcW w:w="0" w:type="auto"/>
            <w:tcBorders>
              <w:top w:val="nil"/>
              <w:left w:val="nil"/>
              <w:bottom w:val="nil"/>
              <w:right w:val="nil"/>
            </w:tcBorders>
            <w:shd w:val="clear" w:color="auto" w:fill="auto"/>
            <w:noWrap/>
            <w:vAlign w:val="bottom"/>
            <w:hideMark/>
          </w:tcPr>
          <w:p w:rsidR="00544587" w:rsidRPr="00544587" w:rsidRDefault="00532660" w:rsidP="000D4BF4">
            <w:pPr>
              <w:overflowPunct/>
              <w:autoSpaceDE/>
              <w:autoSpaceDN/>
              <w:adjustRightInd/>
              <w:textAlignment w:val="auto"/>
              <w:rPr>
                <w:color w:val="000000"/>
              </w:rPr>
            </w:pPr>
            <w:r>
              <w:rPr>
                <w:color w:val="000000"/>
              </w:rPr>
              <w:t>(</w:t>
            </w:r>
            <w:r w:rsidR="00544587" w:rsidRPr="00544587">
              <w:rPr>
                <w:color w:val="000000"/>
              </w:rPr>
              <w:t>-0.1</w:t>
            </w:r>
            <w:r>
              <w:rPr>
                <w:color w:val="000000"/>
              </w:rPr>
              <w:t>)</w:t>
            </w:r>
          </w:p>
        </w:tc>
      </w:tr>
      <w:tr w:rsidR="00F85A66" w:rsidRPr="00544587" w:rsidTr="00157EC7">
        <w:trPr>
          <w:trHeight w:val="20"/>
        </w:trPr>
        <w:tc>
          <w:tcPr>
            <w:tcW w:w="0" w:type="auto"/>
            <w:tcBorders>
              <w:top w:val="nil"/>
              <w:left w:val="nil"/>
              <w:bottom w:val="nil"/>
              <w:right w:val="nil"/>
            </w:tcBorders>
            <w:shd w:val="clear" w:color="auto" w:fill="auto"/>
            <w:noWrap/>
            <w:vAlign w:val="bottom"/>
            <w:hideMark/>
          </w:tcPr>
          <w:p w:rsidR="00544587" w:rsidRPr="00544587" w:rsidRDefault="00544587" w:rsidP="00544587">
            <w:pPr>
              <w:overflowPunct/>
              <w:autoSpaceDE/>
              <w:autoSpaceDN/>
              <w:adjustRightInd/>
              <w:textAlignment w:val="auto"/>
              <w:rPr>
                <w:color w:val="000000"/>
              </w:rPr>
            </w:pPr>
            <w:r w:rsidRPr="00544587">
              <w:rPr>
                <w:color w:val="000000"/>
              </w:rPr>
              <w:t>(R</w:t>
            </w:r>
            <w:r w:rsidRPr="00544587">
              <w:rPr>
                <w:color w:val="000000"/>
                <w:vertAlign w:val="subscript"/>
              </w:rPr>
              <w:t>M</w:t>
            </w:r>
            <w:r w:rsidRPr="00544587">
              <w:rPr>
                <w:color w:val="000000"/>
              </w:rPr>
              <w:t xml:space="preserve"> - R</w:t>
            </w:r>
            <w:r w:rsidRPr="00544587">
              <w:rPr>
                <w:color w:val="000000"/>
                <w:vertAlign w:val="subscript"/>
              </w:rPr>
              <w:t>F</w:t>
            </w:r>
            <w:r w:rsidRPr="00544587">
              <w:rPr>
                <w:color w:val="000000"/>
              </w:rPr>
              <w:t>)</w:t>
            </w:r>
            <w:r w:rsidR="00F85A66" w:rsidRPr="00F85A66">
              <w:rPr>
                <w:color w:val="000000"/>
                <w:vertAlign w:val="subscript"/>
              </w:rPr>
              <w:t>t-1</w:t>
            </w:r>
          </w:p>
        </w:tc>
        <w:tc>
          <w:tcPr>
            <w:tcW w:w="0" w:type="auto"/>
            <w:tcBorders>
              <w:top w:val="nil"/>
              <w:left w:val="nil"/>
              <w:bottom w:val="nil"/>
              <w:right w:val="nil"/>
            </w:tcBorders>
            <w:shd w:val="clear" w:color="auto" w:fill="auto"/>
            <w:noWrap/>
            <w:vAlign w:val="bottom"/>
            <w:hideMark/>
          </w:tcPr>
          <w:p w:rsidR="00544587" w:rsidRPr="00544587" w:rsidRDefault="00544587" w:rsidP="00532660">
            <w:pPr>
              <w:overflowPunct/>
              <w:autoSpaceDE/>
              <w:autoSpaceDN/>
              <w:adjustRightInd/>
              <w:ind w:right="-91"/>
              <w:jc w:val="right"/>
              <w:textAlignment w:val="auto"/>
              <w:rPr>
                <w:color w:val="000000"/>
              </w:rPr>
            </w:pPr>
            <w:r w:rsidRPr="00544587">
              <w:rPr>
                <w:color w:val="000000"/>
              </w:rPr>
              <w:t>-0.023</w:t>
            </w:r>
          </w:p>
        </w:tc>
        <w:tc>
          <w:tcPr>
            <w:tcW w:w="0" w:type="auto"/>
            <w:tcBorders>
              <w:top w:val="nil"/>
              <w:left w:val="nil"/>
              <w:bottom w:val="nil"/>
              <w:right w:val="nil"/>
            </w:tcBorders>
            <w:shd w:val="clear" w:color="auto" w:fill="auto"/>
            <w:noWrap/>
            <w:vAlign w:val="bottom"/>
            <w:hideMark/>
          </w:tcPr>
          <w:p w:rsidR="00544587" w:rsidRPr="00544587" w:rsidRDefault="00544587" w:rsidP="00532660">
            <w:pPr>
              <w:overflowPunct/>
              <w:autoSpaceDE/>
              <w:autoSpaceDN/>
              <w:adjustRightInd/>
              <w:ind w:left="-109"/>
              <w:textAlignment w:val="auto"/>
              <w:rPr>
                <w:color w:val="000000"/>
              </w:rPr>
            </w:pPr>
          </w:p>
        </w:tc>
        <w:tc>
          <w:tcPr>
            <w:tcW w:w="0" w:type="auto"/>
            <w:tcBorders>
              <w:top w:val="nil"/>
              <w:left w:val="nil"/>
              <w:bottom w:val="nil"/>
              <w:right w:val="nil"/>
            </w:tcBorders>
            <w:shd w:val="clear" w:color="auto" w:fill="auto"/>
            <w:noWrap/>
            <w:vAlign w:val="bottom"/>
            <w:hideMark/>
          </w:tcPr>
          <w:p w:rsidR="00544587" w:rsidRPr="00544587" w:rsidRDefault="00532660" w:rsidP="000D4BF4">
            <w:pPr>
              <w:overflowPunct/>
              <w:autoSpaceDE/>
              <w:autoSpaceDN/>
              <w:adjustRightInd/>
              <w:textAlignment w:val="auto"/>
              <w:rPr>
                <w:color w:val="000000"/>
              </w:rPr>
            </w:pPr>
            <w:r>
              <w:rPr>
                <w:color w:val="000000"/>
              </w:rPr>
              <w:t>(</w:t>
            </w:r>
            <w:r w:rsidR="00544587" w:rsidRPr="00544587">
              <w:rPr>
                <w:color w:val="000000"/>
              </w:rPr>
              <w:t>-1.2</w:t>
            </w:r>
            <w:r>
              <w:rPr>
                <w:color w:val="000000"/>
              </w:rPr>
              <w:t>)</w:t>
            </w:r>
          </w:p>
        </w:tc>
        <w:tc>
          <w:tcPr>
            <w:tcW w:w="0" w:type="auto"/>
            <w:tcBorders>
              <w:top w:val="nil"/>
              <w:left w:val="nil"/>
              <w:bottom w:val="nil"/>
              <w:right w:val="nil"/>
            </w:tcBorders>
            <w:shd w:val="clear" w:color="auto" w:fill="auto"/>
            <w:noWrap/>
            <w:vAlign w:val="bottom"/>
            <w:hideMark/>
          </w:tcPr>
          <w:p w:rsidR="00544587" w:rsidRPr="00544587" w:rsidRDefault="00544587" w:rsidP="00157EC7">
            <w:pPr>
              <w:overflowPunct/>
              <w:autoSpaceDE/>
              <w:autoSpaceDN/>
              <w:adjustRightInd/>
              <w:ind w:right="-119"/>
              <w:jc w:val="right"/>
              <w:textAlignment w:val="auto"/>
              <w:rPr>
                <w:color w:val="000000"/>
              </w:rPr>
            </w:pPr>
            <w:r w:rsidRPr="00544587">
              <w:rPr>
                <w:color w:val="000000"/>
              </w:rPr>
              <w:t>-0.158</w:t>
            </w:r>
          </w:p>
        </w:tc>
        <w:tc>
          <w:tcPr>
            <w:tcW w:w="0" w:type="auto"/>
            <w:tcBorders>
              <w:top w:val="nil"/>
              <w:left w:val="nil"/>
              <w:bottom w:val="nil"/>
              <w:right w:val="nil"/>
            </w:tcBorders>
            <w:shd w:val="clear" w:color="auto" w:fill="auto"/>
            <w:noWrap/>
            <w:vAlign w:val="bottom"/>
            <w:hideMark/>
          </w:tcPr>
          <w:p w:rsidR="00544587" w:rsidRPr="00544587" w:rsidRDefault="00544587" w:rsidP="00532660">
            <w:pPr>
              <w:overflowPunct/>
              <w:autoSpaceDE/>
              <w:autoSpaceDN/>
              <w:adjustRightInd/>
              <w:ind w:left="-94"/>
              <w:textAlignment w:val="auto"/>
              <w:rPr>
                <w:color w:val="000000"/>
              </w:rPr>
            </w:pPr>
            <w:r w:rsidRPr="00544587">
              <w:rPr>
                <w:color w:val="000000"/>
                <w:vertAlign w:val="superscript"/>
              </w:rPr>
              <w:t>***</w:t>
            </w:r>
          </w:p>
        </w:tc>
        <w:tc>
          <w:tcPr>
            <w:tcW w:w="880" w:type="dxa"/>
            <w:tcBorders>
              <w:top w:val="nil"/>
              <w:left w:val="nil"/>
              <w:bottom w:val="nil"/>
              <w:right w:val="nil"/>
            </w:tcBorders>
            <w:shd w:val="clear" w:color="auto" w:fill="auto"/>
            <w:noWrap/>
            <w:vAlign w:val="bottom"/>
            <w:hideMark/>
          </w:tcPr>
          <w:p w:rsidR="00544587" w:rsidRPr="00544587" w:rsidRDefault="00532660" w:rsidP="000D4BF4">
            <w:pPr>
              <w:overflowPunct/>
              <w:autoSpaceDE/>
              <w:autoSpaceDN/>
              <w:adjustRightInd/>
              <w:textAlignment w:val="auto"/>
              <w:rPr>
                <w:color w:val="000000"/>
              </w:rPr>
            </w:pPr>
            <w:r>
              <w:rPr>
                <w:color w:val="000000"/>
              </w:rPr>
              <w:t>(</w:t>
            </w:r>
            <w:r w:rsidR="00544587" w:rsidRPr="00544587">
              <w:rPr>
                <w:color w:val="000000"/>
              </w:rPr>
              <w:t>-3.8</w:t>
            </w:r>
            <w:r>
              <w:rPr>
                <w:color w:val="000000"/>
              </w:rPr>
              <w:t>)</w:t>
            </w:r>
          </w:p>
        </w:tc>
        <w:tc>
          <w:tcPr>
            <w:tcW w:w="0" w:type="auto"/>
            <w:tcBorders>
              <w:top w:val="nil"/>
              <w:left w:val="nil"/>
              <w:bottom w:val="nil"/>
              <w:right w:val="nil"/>
            </w:tcBorders>
            <w:shd w:val="clear" w:color="auto" w:fill="auto"/>
            <w:noWrap/>
            <w:vAlign w:val="bottom"/>
            <w:hideMark/>
          </w:tcPr>
          <w:p w:rsidR="00544587" w:rsidRPr="00544587" w:rsidRDefault="00544587" w:rsidP="00532660">
            <w:pPr>
              <w:overflowPunct/>
              <w:autoSpaceDE/>
              <w:autoSpaceDN/>
              <w:adjustRightInd/>
              <w:ind w:right="-53"/>
              <w:jc w:val="right"/>
              <w:textAlignment w:val="auto"/>
              <w:rPr>
                <w:color w:val="000000"/>
              </w:rPr>
            </w:pPr>
            <w:r w:rsidRPr="00544587">
              <w:rPr>
                <w:color w:val="000000"/>
              </w:rPr>
              <w:t>-0.095</w:t>
            </w:r>
          </w:p>
        </w:tc>
        <w:tc>
          <w:tcPr>
            <w:tcW w:w="0" w:type="auto"/>
            <w:tcBorders>
              <w:top w:val="nil"/>
              <w:left w:val="nil"/>
              <w:bottom w:val="nil"/>
              <w:right w:val="nil"/>
            </w:tcBorders>
            <w:shd w:val="clear" w:color="auto" w:fill="auto"/>
            <w:noWrap/>
            <w:vAlign w:val="bottom"/>
            <w:hideMark/>
          </w:tcPr>
          <w:p w:rsidR="00544587" w:rsidRPr="00544587" w:rsidRDefault="00544587" w:rsidP="00532660">
            <w:pPr>
              <w:overflowPunct/>
              <w:autoSpaceDE/>
              <w:autoSpaceDN/>
              <w:adjustRightInd/>
              <w:ind w:left="-40"/>
              <w:textAlignment w:val="auto"/>
              <w:rPr>
                <w:color w:val="000000"/>
              </w:rPr>
            </w:pPr>
          </w:p>
        </w:tc>
        <w:tc>
          <w:tcPr>
            <w:tcW w:w="0" w:type="auto"/>
            <w:tcBorders>
              <w:top w:val="nil"/>
              <w:left w:val="nil"/>
              <w:bottom w:val="nil"/>
              <w:right w:val="nil"/>
            </w:tcBorders>
            <w:shd w:val="clear" w:color="auto" w:fill="auto"/>
            <w:noWrap/>
            <w:vAlign w:val="bottom"/>
            <w:hideMark/>
          </w:tcPr>
          <w:p w:rsidR="00544587" w:rsidRPr="00544587" w:rsidRDefault="00532660" w:rsidP="000D4BF4">
            <w:pPr>
              <w:overflowPunct/>
              <w:autoSpaceDE/>
              <w:autoSpaceDN/>
              <w:adjustRightInd/>
              <w:textAlignment w:val="auto"/>
              <w:rPr>
                <w:color w:val="000000"/>
              </w:rPr>
            </w:pPr>
            <w:r>
              <w:rPr>
                <w:color w:val="000000"/>
              </w:rPr>
              <w:t>(</w:t>
            </w:r>
            <w:r w:rsidR="00544587" w:rsidRPr="00544587">
              <w:rPr>
                <w:color w:val="000000"/>
              </w:rPr>
              <w:t>-1.0</w:t>
            </w:r>
            <w:r>
              <w:rPr>
                <w:color w:val="000000"/>
              </w:rPr>
              <w:t>)</w:t>
            </w:r>
          </w:p>
        </w:tc>
        <w:tc>
          <w:tcPr>
            <w:tcW w:w="0" w:type="auto"/>
            <w:tcBorders>
              <w:top w:val="nil"/>
              <w:left w:val="nil"/>
              <w:bottom w:val="nil"/>
              <w:right w:val="nil"/>
            </w:tcBorders>
            <w:shd w:val="clear" w:color="auto" w:fill="auto"/>
            <w:noWrap/>
            <w:vAlign w:val="bottom"/>
            <w:hideMark/>
          </w:tcPr>
          <w:p w:rsidR="00544587" w:rsidRPr="00544587" w:rsidRDefault="00544587" w:rsidP="00532660">
            <w:pPr>
              <w:overflowPunct/>
              <w:autoSpaceDE/>
              <w:autoSpaceDN/>
              <w:adjustRightInd/>
              <w:ind w:right="-49"/>
              <w:jc w:val="right"/>
              <w:textAlignment w:val="auto"/>
              <w:rPr>
                <w:color w:val="000000"/>
              </w:rPr>
            </w:pPr>
            <w:r w:rsidRPr="00544587">
              <w:rPr>
                <w:color w:val="000000"/>
              </w:rPr>
              <w:t>0.082</w:t>
            </w:r>
          </w:p>
        </w:tc>
        <w:tc>
          <w:tcPr>
            <w:tcW w:w="0" w:type="auto"/>
            <w:tcBorders>
              <w:top w:val="nil"/>
              <w:left w:val="nil"/>
              <w:bottom w:val="nil"/>
              <w:right w:val="nil"/>
            </w:tcBorders>
            <w:shd w:val="clear" w:color="auto" w:fill="auto"/>
            <w:noWrap/>
            <w:vAlign w:val="bottom"/>
            <w:hideMark/>
          </w:tcPr>
          <w:p w:rsidR="00544587" w:rsidRPr="00544587" w:rsidRDefault="00544587" w:rsidP="00532660">
            <w:pPr>
              <w:overflowPunct/>
              <w:autoSpaceDE/>
              <w:autoSpaceDN/>
              <w:adjustRightInd/>
              <w:ind w:left="-94"/>
              <w:textAlignment w:val="auto"/>
              <w:rPr>
                <w:color w:val="000000"/>
              </w:rPr>
            </w:pPr>
          </w:p>
        </w:tc>
        <w:tc>
          <w:tcPr>
            <w:tcW w:w="0" w:type="auto"/>
            <w:tcBorders>
              <w:top w:val="nil"/>
              <w:left w:val="nil"/>
              <w:bottom w:val="nil"/>
              <w:right w:val="nil"/>
            </w:tcBorders>
            <w:shd w:val="clear" w:color="auto" w:fill="auto"/>
            <w:noWrap/>
            <w:vAlign w:val="bottom"/>
            <w:hideMark/>
          </w:tcPr>
          <w:p w:rsidR="00544587" w:rsidRPr="00544587" w:rsidRDefault="00532660" w:rsidP="000D4BF4">
            <w:pPr>
              <w:overflowPunct/>
              <w:autoSpaceDE/>
              <w:autoSpaceDN/>
              <w:adjustRightInd/>
              <w:textAlignment w:val="auto"/>
              <w:rPr>
                <w:color w:val="000000"/>
              </w:rPr>
            </w:pPr>
            <w:r>
              <w:rPr>
                <w:color w:val="000000"/>
              </w:rPr>
              <w:t>(</w:t>
            </w:r>
            <w:r w:rsidR="00544587" w:rsidRPr="00544587">
              <w:rPr>
                <w:color w:val="000000"/>
              </w:rPr>
              <w:t>1.1</w:t>
            </w:r>
            <w:r>
              <w:rPr>
                <w:color w:val="000000"/>
              </w:rPr>
              <w:t>)</w:t>
            </w:r>
          </w:p>
        </w:tc>
      </w:tr>
      <w:tr w:rsidR="00F85A66" w:rsidRPr="00544587" w:rsidTr="00157EC7">
        <w:trPr>
          <w:trHeight w:val="20"/>
        </w:trPr>
        <w:tc>
          <w:tcPr>
            <w:tcW w:w="0" w:type="auto"/>
            <w:tcBorders>
              <w:top w:val="nil"/>
              <w:left w:val="nil"/>
              <w:bottom w:val="nil"/>
              <w:right w:val="nil"/>
            </w:tcBorders>
            <w:shd w:val="clear" w:color="auto" w:fill="auto"/>
            <w:noWrap/>
            <w:vAlign w:val="bottom"/>
            <w:hideMark/>
          </w:tcPr>
          <w:p w:rsidR="00544587" w:rsidRPr="00544587" w:rsidRDefault="00544587" w:rsidP="00544587">
            <w:pPr>
              <w:overflowPunct/>
              <w:autoSpaceDE/>
              <w:autoSpaceDN/>
              <w:adjustRightInd/>
              <w:textAlignment w:val="auto"/>
              <w:rPr>
                <w:color w:val="000000"/>
              </w:rPr>
            </w:pPr>
            <w:r w:rsidRPr="00544587">
              <w:rPr>
                <w:color w:val="000000"/>
              </w:rPr>
              <w:t>HML</w:t>
            </w:r>
            <w:r w:rsidR="00F85A66" w:rsidRPr="00F85A66">
              <w:rPr>
                <w:color w:val="000000"/>
                <w:vertAlign w:val="subscript"/>
              </w:rPr>
              <w:t>t-1</w:t>
            </w:r>
          </w:p>
        </w:tc>
        <w:tc>
          <w:tcPr>
            <w:tcW w:w="0" w:type="auto"/>
            <w:tcBorders>
              <w:top w:val="nil"/>
              <w:left w:val="nil"/>
              <w:bottom w:val="nil"/>
              <w:right w:val="nil"/>
            </w:tcBorders>
            <w:shd w:val="clear" w:color="auto" w:fill="auto"/>
            <w:noWrap/>
            <w:vAlign w:val="bottom"/>
            <w:hideMark/>
          </w:tcPr>
          <w:p w:rsidR="00544587" w:rsidRPr="00544587" w:rsidRDefault="00544587" w:rsidP="00532660">
            <w:pPr>
              <w:overflowPunct/>
              <w:autoSpaceDE/>
              <w:autoSpaceDN/>
              <w:adjustRightInd/>
              <w:ind w:right="-91"/>
              <w:jc w:val="right"/>
              <w:textAlignment w:val="auto"/>
              <w:rPr>
                <w:color w:val="000000"/>
              </w:rPr>
            </w:pPr>
            <w:r w:rsidRPr="00544587">
              <w:rPr>
                <w:color w:val="000000"/>
              </w:rPr>
              <w:t>-0.045</w:t>
            </w:r>
          </w:p>
        </w:tc>
        <w:tc>
          <w:tcPr>
            <w:tcW w:w="0" w:type="auto"/>
            <w:tcBorders>
              <w:top w:val="nil"/>
              <w:left w:val="nil"/>
              <w:bottom w:val="nil"/>
              <w:right w:val="nil"/>
            </w:tcBorders>
            <w:shd w:val="clear" w:color="auto" w:fill="auto"/>
            <w:noWrap/>
            <w:vAlign w:val="bottom"/>
            <w:hideMark/>
          </w:tcPr>
          <w:p w:rsidR="00544587" w:rsidRPr="00544587" w:rsidRDefault="00544587" w:rsidP="00532660">
            <w:pPr>
              <w:overflowPunct/>
              <w:autoSpaceDE/>
              <w:autoSpaceDN/>
              <w:adjustRightInd/>
              <w:ind w:left="-109"/>
              <w:textAlignment w:val="auto"/>
              <w:rPr>
                <w:color w:val="000000"/>
              </w:rPr>
            </w:pPr>
            <w:r w:rsidRPr="00544587">
              <w:rPr>
                <w:color w:val="000000"/>
                <w:vertAlign w:val="superscript"/>
              </w:rPr>
              <w:t>*</w:t>
            </w:r>
          </w:p>
        </w:tc>
        <w:tc>
          <w:tcPr>
            <w:tcW w:w="0" w:type="auto"/>
            <w:tcBorders>
              <w:top w:val="nil"/>
              <w:left w:val="nil"/>
              <w:bottom w:val="nil"/>
              <w:right w:val="nil"/>
            </w:tcBorders>
            <w:shd w:val="clear" w:color="auto" w:fill="auto"/>
            <w:noWrap/>
            <w:vAlign w:val="bottom"/>
            <w:hideMark/>
          </w:tcPr>
          <w:p w:rsidR="00544587" w:rsidRPr="00544587" w:rsidRDefault="00532660" w:rsidP="000D4BF4">
            <w:pPr>
              <w:overflowPunct/>
              <w:autoSpaceDE/>
              <w:autoSpaceDN/>
              <w:adjustRightInd/>
              <w:textAlignment w:val="auto"/>
              <w:rPr>
                <w:color w:val="000000"/>
              </w:rPr>
            </w:pPr>
            <w:r>
              <w:rPr>
                <w:color w:val="000000"/>
              </w:rPr>
              <w:t>(</w:t>
            </w:r>
            <w:r w:rsidR="00544587" w:rsidRPr="00544587">
              <w:rPr>
                <w:color w:val="000000"/>
              </w:rPr>
              <w:t>-1.7</w:t>
            </w:r>
            <w:r>
              <w:rPr>
                <w:color w:val="000000"/>
              </w:rPr>
              <w:t>)</w:t>
            </w:r>
          </w:p>
        </w:tc>
        <w:tc>
          <w:tcPr>
            <w:tcW w:w="0" w:type="auto"/>
            <w:tcBorders>
              <w:top w:val="nil"/>
              <w:left w:val="nil"/>
              <w:bottom w:val="nil"/>
              <w:right w:val="nil"/>
            </w:tcBorders>
            <w:shd w:val="clear" w:color="auto" w:fill="auto"/>
            <w:noWrap/>
            <w:vAlign w:val="bottom"/>
            <w:hideMark/>
          </w:tcPr>
          <w:p w:rsidR="00544587" w:rsidRPr="00544587" w:rsidRDefault="00544587" w:rsidP="00157EC7">
            <w:pPr>
              <w:overflowPunct/>
              <w:autoSpaceDE/>
              <w:autoSpaceDN/>
              <w:adjustRightInd/>
              <w:ind w:right="-119"/>
              <w:jc w:val="right"/>
              <w:textAlignment w:val="auto"/>
              <w:rPr>
                <w:color w:val="000000"/>
              </w:rPr>
            </w:pPr>
            <w:r w:rsidRPr="00544587">
              <w:rPr>
                <w:color w:val="000000"/>
              </w:rPr>
              <w:t>-0.097</w:t>
            </w:r>
          </w:p>
        </w:tc>
        <w:tc>
          <w:tcPr>
            <w:tcW w:w="0" w:type="auto"/>
            <w:tcBorders>
              <w:top w:val="nil"/>
              <w:left w:val="nil"/>
              <w:bottom w:val="nil"/>
              <w:right w:val="nil"/>
            </w:tcBorders>
            <w:shd w:val="clear" w:color="auto" w:fill="auto"/>
            <w:noWrap/>
            <w:vAlign w:val="bottom"/>
            <w:hideMark/>
          </w:tcPr>
          <w:p w:rsidR="00544587" w:rsidRPr="00544587" w:rsidRDefault="00544587" w:rsidP="00532660">
            <w:pPr>
              <w:overflowPunct/>
              <w:autoSpaceDE/>
              <w:autoSpaceDN/>
              <w:adjustRightInd/>
              <w:ind w:left="-94"/>
              <w:textAlignment w:val="auto"/>
              <w:rPr>
                <w:color w:val="000000"/>
              </w:rPr>
            </w:pPr>
          </w:p>
        </w:tc>
        <w:tc>
          <w:tcPr>
            <w:tcW w:w="880" w:type="dxa"/>
            <w:tcBorders>
              <w:top w:val="nil"/>
              <w:left w:val="nil"/>
              <w:bottom w:val="nil"/>
              <w:right w:val="nil"/>
            </w:tcBorders>
            <w:shd w:val="clear" w:color="auto" w:fill="auto"/>
            <w:noWrap/>
            <w:vAlign w:val="bottom"/>
            <w:hideMark/>
          </w:tcPr>
          <w:p w:rsidR="00544587" w:rsidRPr="00544587" w:rsidRDefault="00532660" w:rsidP="000D4BF4">
            <w:pPr>
              <w:overflowPunct/>
              <w:autoSpaceDE/>
              <w:autoSpaceDN/>
              <w:adjustRightInd/>
              <w:textAlignment w:val="auto"/>
              <w:rPr>
                <w:color w:val="000000"/>
              </w:rPr>
            </w:pPr>
            <w:r>
              <w:rPr>
                <w:color w:val="000000"/>
              </w:rPr>
              <w:t>(</w:t>
            </w:r>
            <w:r w:rsidR="00544587" w:rsidRPr="00544587">
              <w:rPr>
                <w:color w:val="000000"/>
              </w:rPr>
              <w:t>-1.6</w:t>
            </w:r>
            <w:r>
              <w:rPr>
                <w:color w:val="000000"/>
              </w:rPr>
              <w:t>)</w:t>
            </w:r>
          </w:p>
        </w:tc>
        <w:tc>
          <w:tcPr>
            <w:tcW w:w="0" w:type="auto"/>
            <w:tcBorders>
              <w:top w:val="nil"/>
              <w:left w:val="nil"/>
              <w:bottom w:val="nil"/>
              <w:right w:val="nil"/>
            </w:tcBorders>
            <w:shd w:val="clear" w:color="auto" w:fill="auto"/>
            <w:noWrap/>
            <w:vAlign w:val="bottom"/>
            <w:hideMark/>
          </w:tcPr>
          <w:p w:rsidR="00544587" w:rsidRPr="00544587" w:rsidRDefault="00544587" w:rsidP="00532660">
            <w:pPr>
              <w:overflowPunct/>
              <w:autoSpaceDE/>
              <w:autoSpaceDN/>
              <w:adjustRightInd/>
              <w:ind w:right="-53"/>
              <w:jc w:val="right"/>
              <w:textAlignment w:val="auto"/>
              <w:rPr>
                <w:color w:val="000000"/>
              </w:rPr>
            </w:pPr>
            <w:r w:rsidRPr="00544587">
              <w:rPr>
                <w:color w:val="000000"/>
              </w:rPr>
              <w:t>0.240</w:t>
            </w:r>
          </w:p>
        </w:tc>
        <w:tc>
          <w:tcPr>
            <w:tcW w:w="0" w:type="auto"/>
            <w:tcBorders>
              <w:top w:val="nil"/>
              <w:left w:val="nil"/>
              <w:bottom w:val="nil"/>
              <w:right w:val="nil"/>
            </w:tcBorders>
            <w:shd w:val="clear" w:color="auto" w:fill="auto"/>
            <w:noWrap/>
            <w:vAlign w:val="bottom"/>
            <w:hideMark/>
          </w:tcPr>
          <w:p w:rsidR="00544587" w:rsidRPr="00544587" w:rsidRDefault="00544587" w:rsidP="00532660">
            <w:pPr>
              <w:overflowPunct/>
              <w:autoSpaceDE/>
              <w:autoSpaceDN/>
              <w:adjustRightInd/>
              <w:ind w:left="-40"/>
              <w:textAlignment w:val="auto"/>
              <w:rPr>
                <w:color w:val="000000"/>
              </w:rPr>
            </w:pPr>
            <w:r w:rsidRPr="00544587">
              <w:rPr>
                <w:color w:val="000000"/>
                <w:vertAlign w:val="superscript"/>
              </w:rPr>
              <w:t>*</w:t>
            </w:r>
          </w:p>
        </w:tc>
        <w:tc>
          <w:tcPr>
            <w:tcW w:w="0" w:type="auto"/>
            <w:tcBorders>
              <w:top w:val="nil"/>
              <w:left w:val="nil"/>
              <w:bottom w:val="nil"/>
              <w:right w:val="nil"/>
            </w:tcBorders>
            <w:shd w:val="clear" w:color="auto" w:fill="auto"/>
            <w:noWrap/>
            <w:vAlign w:val="bottom"/>
            <w:hideMark/>
          </w:tcPr>
          <w:p w:rsidR="00544587" w:rsidRPr="00544587" w:rsidRDefault="00532660" w:rsidP="000D4BF4">
            <w:pPr>
              <w:overflowPunct/>
              <w:autoSpaceDE/>
              <w:autoSpaceDN/>
              <w:adjustRightInd/>
              <w:textAlignment w:val="auto"/>
              <w:rPr>
                <w:color w:val="000000"/>
              </w:rPr>
            </w:pPr>
            <w:r>
              <w:rPr>
                <w:color w:val="000000"/>
              </w:rPr>
              <w:t>(</w:t>
            </w:r>
            <w:r w:rsidR="00544587" w:rsidRPr="00544587">
              <w:rPr>
                <w:color w:val="000000"/>
              </w:rPr>
              <w:t>1.7</w:t>
            </w:r>
            <w:r>
              <w:rPr>
                <w:color w:val="000000"/>
              </w:rPr>
              <w:t>)</w:t>
            </w:r>
          </w:p>
        </w:tc>
        <w:tc>
          <w:tcPr>
            <w:tcW w:w="0" w:type="auto"/>
            <w:tcBorders>
              <w:top w:val="nil"/>
              <w:left w:val="nil"/>
              <w:bottom w:val="nil"/>
              <w:right w:val="nil"/>
            </w:tcBorders>
            <w:shd w:val="clear" w:color="auto" w:fill="auto"/>
            <w:noWrap/>
            <w:vAlign w:val="bottom"/>
            <w:hideMark/>
          </w:tcPr>
          <w:p w:rsidR="00544587" w:rsidRPr="00544587" w:rsidRDefault="00544587" w:rsidP="00532660">
            <w:pPr>
              <w:overflowPunct/>
              <w:autoSpaceDE/>
              <w:autoSpaceDN/>
              <w:adjustRightInd/>
              <w:ind w:right="-49"/>
              <w:jc w:val="right"/>
              <w:textAlignment w:val="auto"/>
              <w:rPr>
                <w:color w:val="000000"/>
              </w:rPr>
            </w:pPr>
            <w:r w:rsidRPr="00544587">
              <w:rPr>
                <w:color w:val="000000"/>
              </w:rPr>
              <w:t>0.083</w:t>
            </w:r>
          </w:p>
        </w:tc>
        <w:tc>
          <w:tcPr>
            <w:tcW w:w="0" w:type="auto"/>
            <w:tcBorders>
              <w:top w:val="nil"/>
              <w:left w:val="nil"/>
              <w:bottom w:val="nil"/>
              <w:right w:val="nil"/>
            </w:tcBorders>
            <w:shd w:val="clear" w:color="auto" w:fill="auto"/>
            <w:noWrap/>
            <w:vAlign w:val="bottom"/>
            <w:hideMark/>
          </w:tcPr>
          <w:p w:rsidR="00544587" w:rsidRPr="00544587" w:rsidRDefault="00544587" w:rsidP="00532660">
            <w:pPr>
              <w:overflowPunct/>
              <w:autoSpaceDE/>
              <w:autoSpaceDN/>
              <w:adjustRightInd/>
              <w:ind w:left="-94"/>
              <w:textAlignment w:val="auto"/>
              <w:rPr>
                <w:color w:val="000000"/>
              </w:rPr>
            </w:pPr>
          </w:p>
        </w:tc>
        <w:tc>
          <w:tcPr>
            <w:tcW w:w="0" w:type="auto"/>
            <w:tcBorders>
              <w:top w:val="nil"/>
              <w:left w:val="nil"/>
              <w:bottom w:val="nil"/>
              <w:right w:val="nil"/>
            </w:tcBorders>
            <w:shd w:val="clear" w:color="auto" w:fill="auto"/>
            <w:noWrap/>
            <w:vAlign w:val="bottom"/>
            <w:hideMark/>
          </w:tcPr>
          <w:p w:rsidR="00544587" w:rsidRPr="00544587" w:rsidRDefault="00532660" w:rsidP="000D4BF4">
            <w:pPr>
              <w:overflowPunct/>
              <w:autoSpaceDE/>
              <w:autoSpaceDN/>
              <w:adjustRightInd/>
              <w:textAlignment w:val="auto"/>
              <w:rPr>
                <w:color w:val="000000"/>
              </w:rPr>
            </w:pPr>
            <w:r>
              <w:rPr>
                <w:color w:val="000000"/>
              </w:rPr>
              <w:t>(</w:t>
            </w:r>
            <w:r w:rsidR="00544587" w:rsidRPr="00544587">
              <w:rPr>
                <w:color w:val="000000"/>
              </w:rPr>
              <w:t>0.8</w:t>
            </w:r>
            <w:r>
              <w:rPr>
                <w:color w:val="000000"/>
              </w:rPr>
              <w:t>)</w:t>
            </w:r>
          </w:p>
        </w:tc>
      </w:tr>
      <w:tr w:rsidR="00F85A66" w:rsidRPr="00544587" w:rsidTr="00157EC7">
        <w:trPr>
          <w:trHeight w:val="20"/>
        </w:trPr>
        <w:tc>
          <w:tcPr>
            <w:tcW w:w="0" w:type="auto"/>
            <w:tcBorders>
              <w:top w:val="nil"/>
              <w:left w:val="nil"/>
              <w:bottom w:val="nil"/>
              <w:right w:val="nil"/>
            </w:tcBorders>
            <w:shd w:val="clear" w:color="auto" w:fill="auto"/>
            <w:noWrap/>
            <w:vAlign w:val="bottom"/>
            <w:hideMark/>
          </w:tcPr>
          <w:p w:rsidR="00544587" w:rsidRPr="00544587" w:rsidRDefault="00544587" w:rsidP="00544587">
            <w:pPr>
              <w:overflowPunct/>
              <w:autoSpaceDE/>
              <w:autoSpaceDN/>
              <w:adjustRightInd/>
              <w:textAlignment w:val="auto"/>
              <w:rPr>
                <w:color w:val="000000"/>
              </w:rPr>
            </w:pPr>
            <w:r w:rsidRPr="00544587">
              <w:rPr>
                <w:color w:val="000000"/>
              </w:rPr>
              <w:t>SMB</w:t>
            </w:r>
            <w:r w:rsidR="00F85A66" w:rsidRPr="00F85A66">
              <w:rPr>
                <w:color w:val="000000"/>
                <w:vertAlign w:val="subscript"/>
              </w:rPr>
              <w:t>t-1</w:t>
            </w:r>
          </w:p>
        </w:tc>
        <w:tc>
          <w:tcPr>
            <w:tcW w:w="0" w:type="auto"/>
            <w:tcBorders>
              <w:top w:val="nil"/>
              <w:left w:val="nil"/>
              <w:bottom w:val="nil"/>
              <w:right w:val="nil"/>
            </w:tcBorders>
            <w:shd w:val="clear" w:color="auto" w:fill="auto"/>
            <w:noWrap/>
            <w:vAlign w:val="bottom"/>
            <w:hideMark/>
          </w:tcPr>
          <w:p w:rsidR="00544587" w:rsidRPr="00544587" w:rsidRDefault="00544587" w:rsidP="00532660">
            <w:pPr>
              <w:overflowPunct/>
              <w:autoSpaceDE/>
              <w:autoSpaceDN/>
              <w:adjustRightInd/>
              <w:ind w:right="-91"/>
              <w:jc w:val="right"/>
              <w:textAlignment w:val="auto"/>
              <w:rPr>
                <w:color w:val="000000"/>
              </w:rPr>
            </w:pPr>
            <w:r w:rsidRPr="00544587">
              <w:rPr>
                <w:color w:val="000000"/>
              </w:rPr>
              <w:t>-0.050</w:t>
            </w:r>
          </w:p>
        </w:tc>
        <w:tc>
          <w:tcPr>
            <w:tcW w:w="0" w:type="auto"/>
            <w:tcBorders>
              <w:top w:val="nil"/>
              <w:left w:val="nil"/>
              <w:bottom w:val="nil"/>
              <w:right w:val="nil"/>
            </w:tcBorders>
            <w:shd w:val="clear" w:color="auto" w:fill="auto"/>
            <w:noWrap/>
            <w:vAlign w:val="bottom"/>
            <w:hideMark/>
          </w:tcPr>
          <w:p w:rsidR="00544587" w:rsidRPr="00544587" w:rsidRDefault="00544587" w:rsidP="00532660">
            <w:pPr>
              <w:overflowPunct/>
              <w:autoSpaceDE/>
              <w:autoSpaceDN/>
              <w:adjustRightInd/>
              <w:ind w:left="-109"/>
              <w:textAlignment w:val="auto"/>
              <w:rPr>
                <w:color w:val="000000"/>
              </w:rPr>
            </w:pPr>
            <w:r w:rsidRPr="00544587">
              <w:rPr>
                <w:color w:val="000000"/>
                <w:vertAlign w:val="superscript"/>
              </w:rPr>
              <w:t>**</w:t>
            </w:r>
          </w:p>
        </w:tc>
        <w:tc>
          <w:tcPr>
            <w:tcW w:w="0" w:type="auto"/>
            <w:tcBorders>
              <w:top w:val="nil"/>
              <w:left w:val="nil"/>
              <w:bottom w:val="nil"/>
              <w:right w:val="nil"/>
            </w:tcBorders>
            <w:shd w:val="clear" w:color="auto" w:fill="auto"/>
            <w:noWrap/>
            <w:vAlign w:val="bottom"/>
            <w:hideMark/>
          </w:tcPr>
          <w:p w:rsidR="00544587" w:rsidRPr="00544587" w:rsidRDefault="00532660" w:rsidP="000D4BF4">
            <w:pPr>
              <w:overflowPunct/>
              <w:autoSpaceDE/>
              <w:autoSpaceDN/>
              <w:adjustRightInd/>
              <w:textAlignment w:val="auto"/>
              <w:rPr>
                <w:color w:val="000000"/>
              </w:rPr>
            </w:pPr>
            <w:r>
              <w:rPr>
                <w:color w:val="000000"/>
              </w:rPr>
              <w:t>(</w:t>
            </w:r>
            <w:r w:rsidR="00544587" w:rsidRPr="00544587">
              <w:rPr>
                <w:color w:val="000000"/>
              </w:rPr>
              <w:t>-2.5</w:t>
            </w:r>
            <w:r>
              <w:rPr>
                <w:color w:val="000000"/>
              </w:rPr>
              <w:t>)</w:t>
            </w:r>
          </w:p>
        </w:tc>
        <w:tc>
          <w:tcPr>
            <w:tcW w:w="0" w:type="auto"/>
            <w:tcBorders>
              <w:top w:val="nil"/>
              <w:left w:val="nil"/>
              <w:bottom w:val="nil"/>
              <w:right w:val="nil"/>
            </w:tcBorders>
            <w:shd w:val="clear" w:color="auto" w:fill="auto"/>
            <w:noWrap/>
            <w:vAlign w:val="bottom"/>
            <w:hideMark/>
          </w:tcPr>
          <w:p w:rsidR="00544587" w:rsidRPr="00544587" w:rsidRDefault="00544587" w:rsidP="00157EC7">
            <w:pPr>
              <w:overflowPunct/>
              <w:autoSpaceDE/>
              <w:autoSpaceDN/>
              <w:adjustRightInd/>
              <w:ind w:right="-119"/>
              <w:jc w:val="right"/>
              <w:textAlignment w:val="auto"/>
              <w:rPr>
                <w:color w:val="000000"/>
              </w:rPr>
            </w:pPr>
            <w:r w:rsidRPr="00544587">
              <w:rPr>
                <w:color w:val="000000"/>
              </w:rPr>
              <w:t>-0.169</w:t>
            </w:r>
          </w:p>
        </w:tc>
        <w:tc>
          <w:tcPr>
            <w:tcW w:w="0" w:type="auto"/>
            <w:tcBorders>
              <w:top w:val="nil"/>
              <w:left w:val="nil"/>
              <w:bottom w:val="nil"/>
              <w:right w:val="nil"/>
            </w:tcBorders>
            <w:shd w:val="clear" w:color="auto" w:fill="auto"/>
            <w:noWrap/>
            <w:vAlign w:val="bottom"/>
            <w:hideMark/>
          </w:tcPr>
          <w:p w:rsidR="00544587" w:rsidRPr="00544587" w:rsidRDefault="00544587" w:rsidP="00532660">
            <w:pPr>
              <w:overflowPunct/>
              <w:autoSpaceDE/>
              <w:autoSpaceDN/>
              <w:adjustRightInd/>
              <w:ind w:left="-94"/>
              <w:textAlignment w:val="auto"/>
              <w:rPr>
                <w:color w:val="000000"/>
              </w:rPr>
            </w:pPr>
            <w:r w:rsidRPr="00544587">
              <w:rPr>
                <w:color w:val="000000"/>
                <w:vertAlign w:val="superscript"/>
              </w:rPr>
              <w:t>***</w:t>
            </w:r>
          </w:p>
        </w:tc>
        <w:tc>
          <w:tcPr>
            <w:tcW w:w="880" w:type="dxa"/>
            <w:tcBorders>
              <w:top w:val="nil"/>
              <w:left w:val="nil"/>
              <w:bottom w:val="nil"/>
              <w:right w:val="nil"/>
            </w:tcBorders>
            <w:shd w:val="clear" w:color="auto" w:fill="auto"/>
            <w:noWrap/>
            <w:vAlign w:val="bottom"/>
            <w:hideMark/>
          </w:tcPr>
          <w:p w:rsidR="00544587" w:rsidRPr="00544587" w:rsidRDefault="00532660" w:rsidP="000D4BF4">
            <w:pPr>
              <w:overflowPunct/>
              <w:autoSpaceDE/>
              <w:autoSpaceDN/>
              <w:adjustRightInd/>
              <w:textAlignment w:val="auto"/>
              <w:rPr>
                <w:color w:val="000000"/>
              </w:rPr>
            </w:pPr>
            <w:r>
              <w:rPr>
                <w:color w:val="000000"/>
              </w:rPr>
              <w:t>(</w:t>
            </w:r>
            <w:r w:rsidR="00544587" w:rsidRPr="00544587">
              <w:rPr>
                <w:color w:val="000000"/>
              </w:rPr>
              <w:t>-3.7</w:t>
            </w:r>
            <w:r>
              <w:rPr>
                <w:color w:val="000000"/>
              </w:rPr>
              <w:t>)</w:t>
            </w:r>
          </w:p>
        </w:tc>
        <w:tc>
          <w:tcPr>
            <w:tcW w:w="0" w:type="auto"/>
            <w:tcBorders>
              <w:top w:val="nil"/>
              <w:left w:val="nil"/>
              <w:bottom w:val="nil"/>
              <w:right w:val="nil"/>
            </w:tcBorders>
            <w:shd w:val="clear" w:color="auto" w:fill="auto"/>
            <w:noWrap/>
            <w:vAlign w:val="bottom"/>
            <w:hideMark/>
          </w:tcPr>
          <w:p w:rsidR="00544587" w:rsidRPr="00544587" w:rsidRDefault="00544587" w:rsidP="00532660">
            <w:pPr>
              <w:overflowPunct/>
              <w:autoSpaceDE/>
              <w:autoSpaceDN/>
              <w:adjustRightInd/>
              <w:ind w:right="-53"/>
              <w:jc w:val="right"/>
              <w:textAlignment w:val="auto"/>
              <w:rPr>
                <w:color w:val="000000"/>
              </w:rPr>
            </w:pPr>
            <w:r w:rsidRPr="00544587">
              <w:rPr>
                <w:color w:val="000000"/>
              </w:rPr>
              <w:t>-0.268</w:t>
            </w:r>
          </w:p>
        </w:tc>
        <w:tc>
          <w:tcPr>
            <w:tcW w:w="0" w:type="auto"/>
            <w:tcBorders>
              <w:top w:val="nil"/>
              <w:left w:val="nil"/>
              <w:bottom w:val="nil"/>
              <w:right w:val="nil"/>
            </w:tcBorders>
            <w:shd w:val="clear" w:color="auto" w:fill="auto"/>
            <w:noWrap/>
            <w:vAlign w:val="bottom"/>
            <w:hideMark/>
          </w:tcPr>
          <w:p w:rsidR="00544587" w:rsidRPr="00544587" w:rsidRDefault="00544587" w:rsidP="00532660">
            <w:pPr>
              <w:overflowPunct/>
              <w:autoSpaceDE/>
              <w:autoSpaceDN/>
              <w:adjustRightInd/>
              <w:ind w:left="-40"/>
              <w:textAlignment w:val="auto"/>
              <w:rPr>
                <w:color w:val="000000"/>
              </w:rPr>
            </w:pPr>
            <w:r w:rsidRPr="00544587">
              <w:rPr>
                <w:color w:val="000000"/>
                <w:vertAlign w:val="superscript"/>
              </w:rPr>
              <w:t>**</w:t>
            </w:r>
          </w:p>
        </w:tc>
        <w:tc>
          <w:tcPr>
            <w:tcW w:w="0" w:type="auto"/>
            <w:tcBorders>
              <w:top w:val="nil"/>
              <w:left w:val="nil"/>
              <w:bottom w:val="nil"/>
              <w:right w:val="nil"/>
            </w:tcBorders>
            <w:shd w:val="clear" w:color="auto" w:fill="auto"/>
            <w:noWrap/>
            <w:vAlign w:val="bottom"/>
            <w:hideMark/>
          </w:tcPr>
          <w:p w:rsidR="00544587" w:rsidRPr="00544587" w:rsidRDefault="00532660" w:rsidP="000D4BF4">
            <w:pPr>
              <w:overflowPunct/>
              <w:autoSpaceDE/>
              <w:autoSpaceDN/>
              <w:adjustRightInd/>
              <w:textAlignment w:val="auto"/>
              <w:rPr>
                <w:color w:val="000000"/>
              </w:rPr>
            </w:pPr>
            <w:r>
              <w:rPr>
                <w:color w:val="000000"/>
              </w:rPr>
              <w:t>(</w:t>
            </w:r>
            <w:r w:rsidR="00544587" w:rsidRPr="00544587">
              <w:rPr>
                <w:color w:val="000000"/>
              </w:rPr>
              <w:t>-2.5</w:t>
            </w:r>
            <w:r>
              <w:rPr>
                <w:color w:val="000000"/>
              </w:rPr>
              <w:t>)</w:t>
            </w:r>
          </w:p>
        </w:tc>
        <w:tc>
          <w:tcPr>
            <w:tcW w:w="0" w:type="auto"/>
            <w:tcBorders>
              <w:top w:val="nil"/>
              <w:left w:val="nil"/>
              <w:bottom w:val="nil"/>
              <w:right w:val="nil"/>
            </w:tcBorders>
            <w:shd w:val="clear" w:color="auto" w:fill="auto"/>
            <w:noWrap/>
            <w:vAlign w:val="bottom"/>
            <w:hideMark/>
          </w:tcPr>
          <w:p w:rsidR="00544587" w:rsidRPr="00544587" w:rsidRDefault="00544587" w:rsidP="00532660">
            <w:pPr>
              <w:overflowPunct/>
              <w:autoSpaceDE/>
              <w:autoSpaceDN/>
              <w:adjustRightInd/>
              <w:ind w:right="-49"/>
              <w:jc w:val="right"/>
              <w:textAlignment w:val="auto"/>
              <w:rPr>
                <w:color w:val="000000"/>
              </w:rPr>
            </w:pPr>
            <w:r w:rsidRPr="00544587">
              <w:rPr>
                <w:color w:val="000000"/>
              </w:rPr>
              <w:t>-0.019</w:t>
            </w:r>
          </w:p>
        </w:tc>
        <w:tc>
          <w:tcPr>
            <w:tcW w:w="0" w:type="auto"/>
            <w:tcBorders>
              <w:top w:val="nil"/>
              <w:left w:val="nil"/>
              <w:bottom w:val="nil"/>
              <w:right w:val="nil"/>
            </w:tcBorders>
            <w:shd w:val="clear" w:color="auto" w:fill="auto"/>
            <w:noWrap/>
            <w:vAlign w:val="bottom"/>
            <w:hideMark/>
          </w:tcPr>
          <w:p w:rsidR="00544587" w:rsidRPr="00544587" w:rsidRDefault="00544587" w:rsidP="00532660">
            <w:pPr>
              <w:overflowPunct/>
              <w:autoSpaceDE/>
              <w:autoSpaceDN/>
              <w:adjustRightInd/>
              <w:ind w:left="-94"/>
              <w:textAlignment w:val="auto"/>
              <w:rPr>
                <w:color w:val="000000"/>
              </w:rPr>
            </w:pPr>
          </w:p>
        </w:tc>
        <w:tc>
          <w:tcPr>
            <w:tcW w:w="0" w:type="auto"/>
            <w:tcBorders>
              <w:top w:val="nil"/>
              <w:left w:val="nil"/>
              <w:bottom w:val="nil"/>
              <w:right w:val="nil"/>
            </w:tcBorders>
            <w:shd w:val="clear" w:color="auto" w:fill="auto"/>
            <w:noWrap/>
            <w:vAlign w:val="bottom"/>
            <w:hideMark/>
          </w:tcPr>
          <w:p w:rsidR="00544587" w:rsidRPr="00544587" w:rsidRDefault="00532660" w:rsidP="000D4BF4">
            <w:pPr>
              <w:overflowPunct/>
              <w:autoSpaceDE/>
              <w:autoSpaceDN/>
              <w:adjustRightInd/>
              <w:textAlignment w:val="auto"/>
              <w:rPr>
                <w:color w:val="000000"/>
              </w:rPr>
            </w:pPr>
            <w:r>
              <w:rPr>
                <w:color w:val="000000"/>
              </w:rPr>
              <w:t>(</w:t>
            </w:r>
            <w:r w:rsidR="00544587" w:rsidRPr="00544587">
              <w:rPr>
                <w:color w:val="000000"/>
              </w:rPr>
              <w:t>-0.2</w:t>
            </w:r>
            <w:r>
              <w:rPr>
                <w:color w:val="000000"/>
              </w:rPr>
              <w:t>)</w:t>
            </w:r>
          </w:p>
        </w:tc>
      </w:tr>
      <w:tr w:rsidR="00F85A66" w:rsidRPr="00544587" w:rsidTr="00157EC7">
        <w:trPr>
          <w:trHeight w:val="20"/>
        </w:trPr>
        <w:tc>
          <w:tcPr>
            <w:tcW w:w="0" w:type="auto"/>
            <w:tcBorders>
              <w:top w:val="nil"/>
              <w:left w:val="nil"/>
              <w:right w:val="nil"/>
            </w:tcBorders>
            <w:shd w:val="clear" w:color="auto" w:fill="auto"/>
            <w:noWrap/>
            <w:vAlign w:val="bottom"/>
            <w:hideMark/>
          </w:tcPr>
          <w:p w:rsidR="00544587" w:rsidRPr="00544587" w:rsidRDefault="00544587" w:rsidP="00544587">
            <w:pPr>
              <w:overflowPunct/>
              <w:autoSpaceDE/>
              <w:autoSpaceDN/>
              <w:adjustRightInd/>
              <w:textAlignment w:val="auto"/>
              <w:rPr>
                <w:color w:val="000000"/>
              </w:rPr>
            </w:pPr>
            <w:r w:rsidRPr="00544587">
              <w:rPr>
                <w:color w:val="000000"/>
              </w:rPr>
              <w:t>(Baa - Aaa)</w:t>
            </w:r>
            <w:r w:rsidR="00F85A66" w:rsidRPr="00F85A66">
              <w:rPr>
                <w:color w:val="000000"/>
                <w:vertAlign w:val="subscript"/>
              </w:rPr>
              <w:t>t-1</w:t>
            </w:r>
          </w:p>
        </w:tc>
        <w:tc>
          <w:tcPr>
            <w:tcW w:w="0" w:type="auto"/>
            <w:tcBorders>
              <w:top w:val="nil"/>
              <w:left w:val="nil"/>
              <w:right w:val="nil"/>
            </w:tcBorders>
            <w:shd w:val="clear" w:color="auto" w:fill="auto"/>
            <w:noWrap/>
            <w:vAlign w:val="bottom"/>
            <w:hideMark/>
          </w:tcPr>
          <w:p w:rsidR="00544587" w:rsidRPr="00544587" w:rsidRDefault="00544587" w:rsidP="00532660">
            <w:pPr>
              <w:overflowPunct/>
              <w:autoSpaceDE/>
              <w:autoSpaceDN/>
              <w:adjustRightInd/>
              <w:ind w:right="-91"/>
              <w:jc w:val="right"/>
              <w:textAlignment w:val="auto"/>
              <w:rPr>
                <w:color w:val="000000"/>
              </w:rPr>
            </w:pPr>
            <w:r w:rsidRPr="00544587">
              <w:rPr>
                <w:color w:val="000000"/>
              </w:rPr>
              <w:t>-0.009</w:t>
            </w:r>
          </w:p>
        </w:tc>
        <w:tc>
          <w:tcPr>
            <w:tcW w:w="0" w:type="auto"/>
            <w:tcBorders>
              <w:top w:val="nil"/>
              <w:left w:val="nil"/>
              <w:right w:val="nil"/>
            </w:tcBorders>
            <w:shd w:val="clear" w:color="auto" w:fill="auto"/>
            <w:noWrap/>
            <w:vAlign w:val="bottom"/>
            <w:hideMark/>
          </w:tcPr>
          <w:p w:rsidR="00544587" w:rsidRPr="00544587" w:rsidRDefault="00544587" w:rsidP="00532660">
            <w:pPr>
              <w:overflowPunct/>
              <w:autoSpaceDE/>
              <w:autoSpaceDN/>
              <w:adjustRightInd/>
              <w:ind w:left="-109"/>
              <w:textAlignment w:val="auto"/>
              <w:rPr>
                <w:color w:val="000000"/>
              </w:rPr>
            </w:pPr>
          </w:p>
        </w:tc>
        <w:tc>
          <w:tcPr>
            <w:tcW w:w="0" w:type="auto"/>
            <w:tcBorders>
              <w:top w:val="nil"/>
              <w:left w:val="nil"/>
              <w:right w:val="nil"/>
            </w:tcBorders>
            <w:shd w:val="clear" w:color="auto" w:fill="auto"/>
            <w:noWrap/>
            <w:vAlign w:val="bottom"/>
            <w:hideMark/>
          </w:tcPr>
          <w:p w:rsidR="00544587" w:rsidRPr="00544587" w:rsidRDefault="00532660" w:rsidP="000D4BF4">
            <w:pPr>
              <w:overflowPunct/>
              <w:autoSpaceDE/>
              <w:autoSpaceDN/>
              <w:adjustRightInd/>
              <w:textAlignment w:val="auto"/>
              <w:rPr>
                <w:color w:val="000000"/>
              </w:rPr>
            </w:pPr>
            <w:r>
              <w:rPr>
                <w:color w:val="000000"/>
              </w:rPr>
              <w:t>(</w:t>
            </w:r>
            <w:r w:rsidR="00544587" w:rsidRPr="00544587">
              <w:rPr>
                <w:color w:val="000000"/>
              </w:rPr>
              <w:t>-0.6</w:t>
            </w:r>
            <w:r>
              <w:rPr>
                <w:color w:val="000000"/>
              </w:rPr>
              <w:t>)</w:t>
            </w:r>
          </w:p>
        </w:tc>
        <w:tc>
          <w:tcPr>
            <w:tcW w:w="0" w:type="auto"/>
            <w:tcBorders>
              <w:top w:val="nil"/>
              <w:left w:val="nil"/>
              <w:right w:val="nil"/>
            </w:tcBorders>
            <w:shd w:val="clear" w:color="auto" w:fill="auto"/>
            <w:noWrap/>
            <w:vAlign w:val="bottom"/>
            <w:hideMark/>
          </w:tcPr>
          <w:p w:rsidR="00544587" w:rsidRPr="00544587" w:rsidRDefault="00544587" w:rsidP="00157EC7">
            <w:pPr>
              <w:overflowPunct/>
              <w:autoSpaceDE/>
              <w:autoSpaceDN/>
              <w:adjustRightInd/>
              <w:ind w:right="-119"/>
              <w:jc w:val="right"/>
              <w:textAlignment w:val="auto"/>
              <w:rPr>
                <w:color w:val="000000"/>
              </w:rPr>
            </w:pPr>
            <w:r w:rsidRPr="00544587">
              <w:rPr>
                <w:color w:val="000000"/>
              </w:rPr>
              <w:t>-0.016</w:t>
            </w:r>
          </w:p>
        </w:tc>
        <w:tc>
          <w:tcPr>
            <w:tcW w:w="0" w:type="auto"/>
            <w:tcBorders>
              <w:top w:val="nil"/>
              <w:left w:val="nil"/>
              <w:right w:val="nil"/>
            </w:tcBorders>
            <w:shd w:val="clear" w:color="auto" w:fill="auto"/>
            <w:noWrap/>
            <w:vAlign w:val="bottom"/>
            <w:hideMark/>
          </w:tcPr>
          <w:p w:rsidR="00544587" w:rsidRPr="00544587" w:rsidRDefault="00544587" w:rsidP="00532660">
            <w:pPr>
              <w:overflowPunct/>
              <w:autoSpaceDE/>
              <w:autoSpaceDN/>
              <w:adjustRightInd/>
              <w:ind w:left="-94"/>
              <w:textAlignment w:val="auto"/>
              <w:rPr>
                <w:color w:val="000000"/>
              </w:rPr>
            </w:pPr>
          </w:p>
        </w:tc>
        <w:tc>
          <w:tcPr>
            <w:tcW w:w="880" w:type="dxa"/>
            <w:tcBorders>
              <w:top w:val="nil"/>
              <w:left w:val="nil"/>
              <w:right w:val="nil"/>
            </w:tcBorders>
            <w:shd w:val="clear" w:color="auto" w:fill="auto"/>
            <w:noWrap/>
            <w:vAlign w:val="bottom"/>
            <w:hideMark/>
          </w:tcPr>
          <w:p w:rsidR="00544587" w:rsidRPr="00544587" w:rsidRDefault="00532660" w:rsidP="000D4BF4">
            <w:pPr>
              <w:overflowPunct/>
              <w:autoSpaceDE/>
              <w:autoSpaceDN/>
              <w:adjustRightInd/>
              <w:textAlignment w:val="auto"/>
              <w:rPr>
                <w:color w:val="000000"/>
              </w:rPr>
            </w:pPr>
            <w:r>
              <w:rPr>
                <w:color w:val="000000"/>
              </w:rPr>
              <w:t>(</w:t>
            </w:r>
            <w:r w:rsidR="00544587" w:rsidRPr="00544587">
              <w:rPr>
                <w:color w:val="000000"/>
              </w:rPr>
              <w:t>-0.4</w:t>
            </w:r>
            <w:r>
              <w:rPr>
                <w:color w:val="000000"/>
              </w:rPr>
              <w:t>)</w:t>
            </w:r>
          </w:p>
        </w:tc>
        <w:tc>
          <w:tcPr>
            <w:tcW w:w="0" w:type="auto"/>
            <w:tcBorders>
              <w:top w:val="nil"/>
              <w:left w:val="nil"/>
              <w:right w:val="nil"/>
            </w:tcBorders>
            <w:shd w:val="clear" w:color="auto" w:fill="auto"/>
            <w:noWrap/>
            <w:vAlign w:val="bottom"/>
            <w:hideMark/>
          </w:tcPr>
          <w:p w:rsidR="00544587" w:rsidRPr="00544587" w:rsidRDefault="00544587" w:rsidP="00532660">
            <w:pPr>
              <w:overflowPunct/>
              <w:autoSpaceDE/>
              <w:autoSpaceDN/>
              <w:adjustRightInd/>
              <w:ind w:right="-53"/>
              <w:jc w:val="right"/>
              <w:textAlignment w:val="auto"/>
              <w:rPr>
                <w:color w:val="000000"/>
              </w:rPr>
            </w:pPr>
            <w:r w:rsidRPr="00544587">
              <w:rPr>
                <w:color w:val="000000"/>
              </w:rPr>
              <w:t>0.026</w:t>
            </w:r>
          </w:p>
        </w:tc>
        <w:tc>
          <w:tcPr>
            <w:tcW w:w="0" w:type="auto"/>
            <w:tcBorders>
              <w:top w:val="nil"/>
              <w:left w:val="nil"/>
              <w:right w:val="nil"/>
            </w:tcBorders>
            <w:shd w:val="clear" w:color="auto" w:fill="auto"/>
            <w:noWrap/>
            <w:vAlign w:val="bottom"/>
            <w:hideMark/>
          </w:tcPr>
          <w:p w:rsidR="00544587" w:rsidRPr="00544587" w:rsidRDefault="00544587" w:rsidP="00532660">
            <w:pPr>
              <w:overflowPunct/>
              <w:autoSpaceDE/>
              <w:autoSpaceDN/>
              <w:adjustRightInd/>
              <w:ind w:left="-40"/>
              <w:textAlignment w:val="auto"/>
              <w:rPr>
                <w:color w:val="000000"/>
              </w:rPr>
            </w:pPr>
          </w:p>
        </w:tc>
        <w:tc>
          <w:tcPr>
            <w:tcW w:w="0" w:type="auto"/>
            <w:tcBorders>
              <w:top w:val="nil"/>
              <w:left w:val="nil"/>
              <w:right w:val="nil"/>
            </w:tcBorders>
            <w:shd w:val="clear" w:color="auto" w:fill="auto"/>
            <w:noWrap/>
            <w:vAlign w:val="bottom"/>
            <w:hideMark/>
          </w:tcPr>
          <w:p w:rsidR="00544587" w:rsidRPr="00544587" w:rsidRDefault="00532660" w:rsidP="000D4BF4">
            <w:pPr>
              <w:overflowPunct/>
              <w:autoSpaceDE/>
              <w:autoSpaceDN/>
              <w:adjustRightInd/>
              <w:textAlignment w:val="auto"/>
              <w:rPr>
                <w:color w:val="000000"/>
              </w:rPr>
            </w:pPr>
            <w:r>
              <w:rPr>
                <w:color w:val="000000"/>
              </w:rPr>
              <w:t>(</w:t>
            </w:r>
            <w:r w:rsidR="00544587" w:rsidRPr="00544587">
              <w:rPr>
                <w:color w:val="000000"/>
              </w:rPr>
              <w:t>0.3</w:t>
            </w:r>
            <w:r>
              <w:rPr>
                <w:color w:val="000000"/>
              </w:rPr>
              <w:t>)</w:t>
            </w:r>
          </w:p>
        </w:tc>
        <w:tc>
          <w:tcPr>
            <w:tcW w:w="0" w:type="auto"/>
            <w:tcBorders>
              <w:top w:val="nil"/>
              <w:left w:val="nil"/>
              <w:right w:val="nil"/>
            </w:tcBorders>
            <w:shd w:val="clear" w:color="auto" w:fill="auto"/>
            <w:noWrap/>
            <w:vAlign w:val="bottom"/>
            <w:hideMark/>
          </w:tcPr>
          <w:p w:rsidR="00544587" w:rsidRPr="00544587" w:rsidRDefault="00544587" w:rsidP="00532660">
            <w:pPr>
              <w:overflowPunct/>
              <w:autoSpaceDE/>
              <w:autoSpaceDN/>
              <w:adjustRightInd/>
              <w:ind w:right="-49"/>
              <w:jc w:val="right"/>
              <w:textAlignment w:val="auto"/>
              <w:rPr>
                <w:color w:val="000000"/>
              </w:rPr>
            </w:pPr>
            <w:r w:rsidRPr="00544587">
              <w:rPr>
                <w:color w:val="000000"/>
              </w:rPr>
              <w:t>-0.046</w:t>
            </w:r>
          </w:p>
        </w:tc>
        <w:tc>
          <w:tcPr>
            <w:tcW w:w="0" w:type="auto"/>
            <w:tcBorders>
              <w:top w:val="nil"/>
              <w:left w:val="nil"/>
              <w:right w:val="nil"/>
            </w:tcBorders>
            <w:shd w:val="clear" w:color="auto" w:fill="auto"/>
            <w:noWrap/>
            <w:vAlign w:val="bottom"/>
            <w:hideMark/>
          </w:tcPr>
          <w:p w:rsidR="00544587" w:rsidRPr="00544587" w:rsidRDefault="00544587" w:rsidP="00532660">
            <w:pPr>
              <w:overflowPunct/>
              <w:autoSpaceDE/>
              <w:autoSpaceDN/>
              <w:adjustRightInd/>
              <w:ind w:left="-94"/>
              <w:textAlignment w:val="auto"/>
              <w:rPr>
                <w:color w:val="000000"/>
              </w:rPr>
            </w:pPr>
          </w:p>
        </w:tc>
        <w:tc>
          <w:tcPr>
            <w:tcW w:w="0" w:type="auto"/>
            <w:tcBorders>
              <w:top w:val="nil"/>
              <w:left w:val="nil"/>
              <w:right w:val="nil"/>
            </w:tcBorders>
            <w:shd w:val="clear" w:color="auto" w:fill="auto"/>
            <w:noWrap/>
            <w:vAlign w:val="bottom"/>
            <w:hideMark/>
          </w:tcPr>
          <w:p w:rsidR="00544587" w:rsidRPr="00544587" w:rsidRDefault="00532660" w:rsidP="000D4BF4">
            <w:pPr>
              <w:overflowPunct/>
              <w:autoSpaceDE/>
              <w:autoSpaceDN/>
              <w:adjustRightInd/>
              <w:textAlignment w:val="auto"/>
              <w:rPr>
                <w:color w:val="000000"/>
              </w:rPr>
            </w:pPr>
            <w:r>
              <w:rPr>
                <w:color w:val="000000"/>
              </w:rPr>
              <w:t>(</w:t>
            </w:r>
            <w:r w:rsidR="00544587" w:rsidRPr="00544587">
              <w:rPr>
                <w:color w:val="000000"/>
              </w:rPr>
              <w:t>-0.7</w:t>
            </w:r>
            <w:r>
              <w:rPr>
                <w:color w:val="000000"/>
              </w:rPr>
              <w:t>)</w:t>
            </w:r>
          </w:p>
        </w:tc>
      </w:tr>
      <w:tr w:rsidR="00F85A66" w:rsidRPr="00544587" w:rsidTr="00157EC7">
        <w:trPr>
          <w:trHeight w:val="20"/>
        </w:trPr>
        <w:tc>
          <w:tcPr>
            <w:tcW w:w="0" w:type="auto"/>
            <w:tcBorders>
              <w:top w:val="nil"/>
              <w:left w:val="nil"/>
              <w:bottom w:val="single" w:sz="12" w:space="0" w:color="auto"/>
              <w:right w:val="nil"/>
            </w:tcBorders>
            <w:shd w:val="clear" w:color="auto" w:fill="auto"/>
            <w:noWrap/>
            <w:vAlign w:val="bottom"/>
            <w:hideMark/>
          </w:tcPr>
          <w:p w:rsidR="00544587" w:rsidRPr="00544587" w:rsidRDefault="00544587" w:rsidP="008E082E">
            <w:pPr>
              <w:overflowPunct/>
              <w:autoSpaceDE/>
              <w:autoSpaceDN/>
              <w:adjustRightInd/>
              <w:spacing w:after="60"/>
              <w:textAlignment w:val="auto"/>
              <w:rPr>
                <w:color w:val="000000"/>
              </w:rPr>
            </w:pPr>
            <w:r w:rsidRPr="00544587">
              <w:rPr>
                <w:color w:val="000000"/>
              </w:rPr>
              <w:t>(10yr - 1yr)</w:t>
            </w:r>
            <w:r w:rsidR="00F85A66" w:rsidRPr="00F85A66">
              <w:rPr>
                <w:color w:val="000000"/>
                <w:vertAlign w:val="subscript"/>
              </w:rPr>
              <w:t>t-1</w:t>
            </w:r>
          </w:p>
        </w:tc>
        <w:tc>
          <w:tcPr>
            <w:tcW w:w="0" w:type="auto"/>
            <w:tcBorders>
              <w:top w:val="nil"/>
              <w:left w:val="nil"/>
              <w:bottom w:val="single" w:sz="12" w:space="0" w:color="auto"/>
              <w:right w:val="nil"/>
            </w:tcBorders>
            <w:shd w:val="clear" w:color="auto" w:fill="auto"/>
            <w:noWrap/>
            <w:vAlign w:val="bottom"/>
            <w:hideMark/>
          </w:tcPr>
          <w:p w:rsidR="00544587" w:rsidRPr="00544587" w:rsidRDefault="00544587" w:rsidP="00532660">
            <w:pPr>
              <w:overflowPunct/>
              <w:autoSpaceDE/>
              <w:autoSpaceDN/>
              <w:adjustRightInd/>
              <w:spacing w:after="60"/>
              <w:ind w:right="-91"/>
              <w:jc w:val="right"/>
              <w:textAlignment w:val="auto"/>
              <w:rPr>
                <w:color w:val="000000"/>
              </w:rPr>
            </w:pPr>
            <w:r w:rsidRPr="00544587">
              <w:rPr>
                <w:color w:val="000000"/>
              </w:rPr>
              <w:t>0.036</w:t>
            </w:r>
          </w:p>
        </w:tc>
        <w:tc>
          <w:tcPr>
            <w:tcW w:w="0" w:type="auto"/>
            <w:tcBorders>
              <w:top w:val="nil"/>
              <w:left w:val="nil"/>
              <w:bottom w:val="single" w:sz="12" w:space="0" w:color="auto"/>
              <w:right w:val="nil"/>
            </w:tcBorders>
            <w:shd w:val="clear" w:color="auto" w:fill="auto"/>
            <w:noWrap/>
            <w:vAlign w:val="bottom"/>
            <w:hideMark/>
          </w:tcPr>
          <w:p w:rsidR="00544587" w:rsidRPr="00544587" w:rsidRDefault="00544587" w:rsidP="00532660">
            <w:pPr>
              <w:overflowPunct/>
              <w:autoSpaceDE/>
              <w:autoSpaceDN/>
              <w:adjustRightInd/>
              <w:spacing w:after="60"/>
              <w:ind w:left="-109"/>
              <w:textAlignment w:val="auto"/>
              <w:rPr>
                <w:color w:val="000000"/>
              </w:rPr>
            </w:pPr>
            <w:r w:rsidRPr="00544587">
              <w:rPr>
                <w:color w:val="000000"/>
                <w:vertAlign w:val="superscript"/>
              </w:rPr>
              <w:t>**</w:t>
            </w:r>
          </w:p>
        </w:tc>
        <w:tc>
          <w:tcPr>
            <w:tcW w:w="0" w:type="auto"/>
            <w:tcBorders>
              <w:top w:val="nil"/>
              <w:left w:val="nil"/>
              <w:bottom w:val="single" w:sz="12" w:space="0" w:color="auto"/>
              <w:right w:val="nil"/>
            </w:tcBorders>
            <w:shd w:val="clear" w:color="auto" w:fill="auto"/>
            <w:noWrap/>
            <w:vAlign w:val="bottom"/>
            <w:hideMark/>
          </w:tcPr>
          <w:p w:rsidR="00544587" w:rsidRPr="00544587" w:rsidRDefault="00532660" w:rsidP="000D4BF4">
            <w:pPr>
              <w:overflowPunct/>
              <w:autoSpaceDE/>
              <w:autoSpaceDN/>
              <w:adjustRightInd/>
              <w:spacing w:after="60"/>
              <w:textAlignment w:val="auto"/>
              <w:rPr>
                <w:color w:val="000000"/>
              </w:rPr>
            </w:pPr>
            <w:r>
              <w:rPr>
                <w:color w:val="000000"/>
              </w:rPr>
              <w:t>(</w:t>
            </w:r>
            <w:r w:rsidR="00544587" w:rsidRPr="00544587">
              <w:rPr>
                <w:color w:val="000000"/>
              </w:rPr>
              <w:t>2.1</w:t>
            </w:r>
            <w:r>
              <w:rPr>
                <w:color w:val="000000"/>
              </w:rPr>
              <w:t>)</w:t>
            </w:r>
          </w:p>
        </w:tc>
        <w:tc>
          <w:tcPr>
            <w:tcW w:w="0" w:type="auto"/>
            <w:tcBorders>
              <w:top w:val="nil"/>
              <w:left w:val="nil"/>
              <w:bottom w:val="single" w:sz="12" w:space="0" w:color="auto"/>
              <w:right w:val="nil"/>
            </w:tcBorders>
            <w:shd w:val="clear" w:color="auto" w:fill="auto"/>
            <w:noWrap/>
            <w:vAlign w:val="bottom"/>
            <w:hideMark/>
          </w:tcPr>
          <w:p w:rsidR="00544587" w:rsidRPr="00544587" w:rsidRDefault="00544587" w:rsidP="00157EC7">
            <w:pPr>
              <w:overflowPunct/>
              <w:autoSpaceDE/>
              <w:autoSpaceDN/>
              <w:adjustRightInd/>
              <w:spacing w:after="60"/>
              <w:ind w:right="-119"/>
              <w:jc w:val="right"/>
              <w:textAlignment w:val="auto"/>
              <w:rPr>
                <w:color w:val="000000"/>
              </w:rPr>
            </w:pPr>
            <w:r w:rsidRPr="00544587">
              <w:rPr>
                <w:color w:val="000000"/>
              </w:rPr>
              <w:t>0.022</w:t>
            </w:r>
          </w:p>
        </w:tc>
        <w:tc>
          <w:tcPr>
            <w:tcW w:w="0" w:type="auto"/>
            <w:tcBorders>
              <w:top w:val="nil"/>
              <w:left w:val="nil"/>
              <w:bottom w:val="single" w:sz="12" w:space="0" w:color="auto"/>
              <w:right w:val="nil"/>
            </w:tcBorders>
            <w:shd w:val="clear" w:color="auto" w:fill="auto"/>
            <w:noWrap/>
            <w:vAlign w:val="bottom"/>
            <w:hideMark/>
          </w:tcPr>
          <w:p w:rsidR="00544587" w:rsidRPr="00544587" w:rsidRDefault="00544587" w:rsidP="00532660">
            <w:pPr>
              <w:overflowPunct/>
              <w:autoSpaceDE/>
              <w:autoSpaceDN/>
              <w:adjustRightInd/>
              <w:spacing w:after="60"/>
              <w:ind w:left="-94"/>
              <w:textAlignment w:val="auto"/>
              <w:rPr>
                <w:color w:val="000000"/>
              </w:rPr>
            </w:pPr>
            <w:r w:rsidRPr="00544587">
              <w:rPr>
                <w:color w:val="000000"/>
              </w:rPr>
              <w:t> </w:t>
            </w:r>
          </w:p>
        </w:tc>
        <w:tc>
          <w:tcPr>
            <w:tcW w:w="880" w:type="dxa"/>
            <w:tcBorders>
              <w:top w:val="nil"/>
              <w:left w:val="nil"/>
              <w:bottom w:val="single" w:sz="12" w:space="0" w:color="auto"/>
              <w:right w:val="nil"/>
            </w:tcBorders>
            <w:shd w:val="clear" w:color="auto" w:fill="auto"/>
            <w:noWrap/>
            <w:vAlign w:val="bottom"/>
            <w:hideMark/>
          </w:tcPr>
          <w:p w:rsidR="00544587" w:rsidRPr="00544587" w:rsidRDefault="00532660" w:rsidP="000D4BF4">
            <w:pPr>
              <w:overflowPunct/>
              <w:autoSpaceDE/>
              <w:autoSpaceDN/>
              <w:adjustRightInd/>
              <w:spacing w:after="60"/>
              <w:textAlignment w:val="auto"/>
              <w:rPr>
                <w:color w:val="000000"/>
              </w:rPr>
            </w:pPr>
            <w:r>
              <w:rPr>
                <w:color w:val="000000"/>
              </w:rPr>
              <w:t>(</w:t>
            </w:r>
            <w:r w:rsidR="00544587" w:rsidRPr="00544587">
              <w:rPr>
                <w:color w:val="000000"/>
              </w:rPr>
              <w:t>0.6</w:t>
            </w:r>
            <w:r>
              <w:rPr>
                <w:color w:val="000000"/>
              </w:rPr>
              <w:t>)</w:t>
            </w:r>
          </w:p>
        </w:tc>
        <w:tc>
          <w:tcPr>
            <w:tcW w:w="0" w:type="auto"/>
            <w:tcBorders>
              <w:top w:val="nil"/>
              <w:left w:val="nil"/>
              <w:bottom w:val="single" w:sz="12" w:space="0" w:color="auto"/>
              <w:right w:val="nil"/>
            </w:tcBorders>
            <w:shd w:val="clear" w:color="auto" w:fill="auto"/>
            <w:noWrap/>
            <w:vAlign w:val="bottom"/>
            <w:hideMark/>
          </w:tcPr>
          <w:p w:rsidR="00544587" w:rsidRPr="00544587" w:rsidRDefault="00544587" w:rsidP="00532660">
            <w:pPr>
              <w:overflowPunct/>
              <w:autoSpaceDE/>
              <w:autoSpaceDN/>
              <w:adjustRightInd/>
              <w:spacing w:after="60"/>
              <w:ind w:right="-53"/>
              <w:jc w:val="right"/>
              <w:textAlignment w:val="auto"/>
              <w:rPr>
                <w:color w:val="000000"/>
              </w:rPr>
            </w:pPr>
            <w:r w:rsidRPr="00544587">
              <w:rPr>
                <w:color w:val="000000"/>
              </w:rPr>
              <w:t>0.013</w:t>
            </w:r>
          </w:p>
        </w:tc>
        <w:tc>
          <w:tcPr>
            <w:tcW w:w="0" w:type="auto"/>
            <w:tcBorders>
              <w:top w:val="nil"/>
              <w:left w:val="nil"/>
              <w:bottom w:val="single" w:sz="12" w:space="0" w:color="auto"/>
              <w:right w:val="nil"/>
            </w:tcBorders>
            <w:shd w:val="clear" w:color="auto" w:fill="auto"/>
            <w:noWrap/>
            <w:vAlign w:val="bottom"/>
            <w:hideMark/>
          </w:tcPr>
          <w:p w:rsidR="00544587" w:rsidRPr="00544587" w:rsidRDefault="00544587" w:rsidP="00532660">
            <w:pPr>
              <w:overflowPunct/>
              <w:autoSpaceDE/>
              <w:autoSpaceDN/>
              <w:adjustRightInd/>
              <w:spacing w:after="60"/>
              <w:ind w:left="-40"/>
              <w:textAlignment w:val="auto"/>
              <w:rPr>
                <w:color w:val="000000"/>
              </w:rPr>
            </w:pPr>
            <w:r w:rsidRPr="00544587">
              <w:rPr>
                <w:color w:val="000000"/>
              </w:rPr>
              <w:t> </w:t>
            </w:r>
          </w:p>
        </w:tc>
        <w:tc>
          <w:tcPr>
            <w:tcW w:w="0" w:type="auto"/>
            <w:tcBorders>
              <w:top w:val="nil"/>
              <w:left w:val="nil"/>
              <w:bottom w:val="single" w:sz="12" w:space="0" w:color="auto"/>
              <w:right w:val="nil"/>
            </w:tcBorders>
            <w:shd w:val="clear" w:color="auto" w:fill="auto"/>
            <w:noWrap/>
            <w:vAlign w:val="bottom"/>
            <w:hideMark/>
          </w:tcPr>
          <w:p w:rsidR="00544587" w:rsidRPr="00544587" w:rsidRDefault="00532660" w:rsidP="000D4BF4">
            <w:pPr>
              <w:overflowPunct/>
              <w:autoSpaceDE/>
              <w:autoSpaceDN/>
              <w:adjustRightInd/>
              <w:spacing w:after="60"/>
              <w:textAlignment w:val="auto"/>
              <w:rPr>
                <w:color w:val="000000"/>
              </w:rPr>
            </w:pPr>
            <w:r>
              <w:rPr>
                <w:color w:val="000000"/>
              </w:rPr>
              <w:t>(</w:t>
            </w:r>
            <w:r w:rsidR="00544587" w:rsidRPr="00544587">
              <w:rPr>
                <w:color w:val="000000"/>
              </w:rPr>
              <w:t>0.1</w:t>
            </w:r>
            <w:r>
              <w:rPr>
                <w:color w:val="000000"/>
              </w:rPr>
              <w:t>)</w:t>
            </w:r>
          </w:p>
        </w:tc>
        <w:tc>
          <w:tcPr>
            <w:tcW w:w="0" w:type="auto"/>
            <w:tcBorders>
              <w:top w:val="nil"/>
              <w:left w:val="nil"/>
              <w:bottom w:val="single" w:sz="12" w:space="0" w:color="auto"/>
              <w:right w:val="nil"/>
            </w:tcBorders>
            <w:shd w:val="clear" w:color="auto" w:fill="auto"/>
            <w:noWrap/>
            <w:vAlign w:val="bottom"/>
            <w:hideMark/>
          </w:tcPr>
          <w:p w:rsidR="00544587" w:rsidRPr="00544587" w:rsidRDefault="00544587" w:rsidP="00532660">
            <w:pPr>
              <w:overflowPunct/>
              <w:autoSpaceDE/>
              <w:autoSpaceDN/>
              <w:adjustRightInd/>
              <w:spacing w:after="60"/>
              <w:ind w:right="-49"/>
              <w:jc w:val="right"/>
              <w:textAlignment w:val="auto"/>
              <w:rPr>
                <w:color w:val="000000"/>
              </w:rPr>
            </w:pPr>
            <w:r w:rsidRPr="00544587">
              <w:rPr>
                <w:color w:val="000000"/>
              </w:rPr>
              <w:t>-0.052</w:t>
            </w:r>
          </w:p>
        </w:tc>
        <w:tc>
          <w:tcPr>
            <w:tcW w:w="0" w:type="auto"/>
            <w:tcBorders>
              <w:top w:val="nil"/>
              <w:left w:val="nil"/>
              <w:bottom w:val="single" w:sz="12" w:space="0" w:color="auto"/>
              <w:right w:val="nil"/>
            </w:tcBorders>
            <w:shd w:val="clear" w:color="auto" w:fill="auto"/>
            <w:noWrap/>
            <w:vAlign w:val="bottom"/>
            <w:hideMark/>
          </w:tcPr>
          <w:p w:rsidR="00544587" w:rsidRPr="00544587" w:rsidRDefault="00544587" w:rsidP="00532660">
            <w:pPr>
              <w:overflowPunct/>
              <w:autoSpaceDE/>
              <w:autoSpaceDN/>
              <w:adjustRightInd/>
              <w:spacing w:after="60"/>
              <w:ind w:left="-94"/>
              <w:textAlignment w:val="auto"/>
              <w:rPr>
                <w:color w:val="000000"/>
              </w:rPr>
            </w:pPr>
            <w:r w:rsidRPr="00544587">
              <w:rPr>
                <w:color w:val="000000"/>
              </w:rPr>
              <w:t> </w:t>
            </w:r>
          </w:p>
        </w:tc>
        <w:tc>
          <w:tcPr>
            <w:tcW w:w="0" w:type="auto"/>
            <w:tcBorders>
              <w:top w:val="nil"/>
              <w:left w:val="nil"/>
              <w:bottom w:val="single" w:sz="12" w:space="0" w:color="auto"/>
              <w:right w:val="nil"/>
            </w:tcBorders>
            <w:shd w:val="clear" w:color="auto" w:fill="auto"/>
            <w:noWrap/>
            <w:vAlign w:val="bottom"/>
            <w:hideMark/>
          </w:tcPr>
          <w:p w:rsidR="00544587" w:rsidRPr="00544587" w:rsidRDefault="00532660" w:rsidP="000D4BF4">
            <w:pPr>
              <w:overflowPunct/>
              <w:autoSpaceDE/>
              <w:autoSpaceDN/>
              <w:adjustRightInd/>
              <w:spacing w:after="60"/>
              <w:textAlignment w:val="auto"/>
              <w:rPr>
                <w:color w:val="000000"/>
              </w:rPr>
            </w:pPr>
            <w:r>
              <w:rPr>
                <w:color w:val="000000"/>
              </w:rPr>
              <w:t>(</w:t>
            </w:r>
            <w:r w:rsidR="00544587" w:rsidRPr="00544587">
              <w:rPr>
                <w:color w:val="000000"/>
              </w:rPr>
              <w:t>-0.8</w:t>
            </w:r>
            <w:r>
              <w:rPr>
                <w:color w:val="000000"/>
              </w:rPr>
              <w:t>)</w:t>
            </w:r>
          </w:p>
        </w:tc>
      </w:tr>
    </w:tbl>
    <w:p w:rsidR="00157EC7" w:rsidRDefault="00157EC7" w:rsidP="00157EC7">
      <w:pPr>
        <w:overflowPunct/>
        <w:autoSpaceDE/>
        <w:autoSpaceDN/>
        <w:adjustRightInd/>
        <w:spacing w:before="120" w:line="216" w:lineRule="auto"/>
        <w:ind w:right="-360"/>
        <w:jc w:val="both"/>
        <w:textAlignment w:val="auto"/>
      </w:pPr>
      <w:r w:rsidRPr="001B687A">
        <w:rPr>
          <w:i/>
        </w:rPr>
        <w:t>Notes:</w:t>
      </w:r>
      <w:r w:rsidRPr="001B687A">
        <w:t xml:space="preserve"> This table presents </w:t>
      </w:r>
      <w:r>
        <w:t>results from two versions of the vector autoregressive model with four endogenous variables (VAR:4). The four endogenous variables are Income Returns, Capital Gains, Volume, and CRE Tightening</w:t>
      </w:r>
      <w:r w:rsidR="00F85A66">
        <w:t xml:space="preserve"> – with results displayed sequentially from left-to-right</w:t>
      </w:r>
      <w:r>
        <w:t>. Panel A presents results from the first specification, where only endogenous variables are included. Panel B presents results from the model that also includes a set of exogenous controls for Baa rates, the Fama–French factors, the credit spread, and the yield curve. The table displays the estimate</w:t>
      </w:r>
      <w:r w:rsidR="00F85A66">
        <w:t>d coefficients</w:t>
      </w:r>
      <w:r>
        <w:t xml:space="preserve"> (Coef), along with the corresponding t-statistic in parentheses. All variables are defined in the notes to Table 1. </w:t>
      </w:r>
      <w:r w:rsidRPr="001B687A">
        <w:rPr>
          <w:vertAlign w:val="superscript"/>
        </w:rPr>
        <w:t>***</w:t>
      </w:r>
      <w:r>
        <w:t xml:space="preserve">, </w:t>
      </w:r>
      <w:r w:rsidRPr="001B687A">
        <w:rPr>
          <w:vertAlign w:val="superscript"/>
        </w:rPr>
        <w:t>**</w:t>
      </w:r>
      <w:r>
        <w:t xml:space="preserve">, and </w:t>
      </w:r>
      <w:r w:rsidRPr="001B687A">
        <w:rPr>
          <w:vertAlign w:val="superscript"/>
        </w:rPr>
        <w:t>*</w:t>
      </w:r>
      <w:r>
        <w:t xml:space="preserve"> indicate statistically significant coefficients at the 1%, 5%, and 10% levels respectively. </w:t>
      </w:r>
    </w:p>
    <w:p w:rsidR="008E082E" w:rsidRDefault="008E082E">
      <w:pPr>
        <w:overflowPunct/>
        <w:autoSpaceDE/>
        <w:autoSpaceDN/>
        <w:adjustRightInd/>
        <w:spacing w:after="200" w:line="276" w:lineRule="auto"/>
        <w:textAlignment w:val="auto"/>
        <w:rPr>
          <w:sz w:val="22"/>
          <w:szCs w:val="22"/>
        </w:rPr>
      </w:pPr>
    </w:p>
    <w:p w:rsidR="008E082E" w:rsidRDefault="008E082E">
      <w:pPr>
        <w:overflowPunct/>
        <w:autoSpaceDE/>
        <w:autoSpaceDN/>
        <w:adjustRightInd/>
        <w:spacing w:after="200" w:line="276" w:lineRule="auto"/>
        <w:textAlignment w:val="auto"/>
        <w:rPr>
          <w:sz w:val="22"/>
          <w:szCs w:val="22"/>
        </w:rPr>
      </w:pPr>
    </w:p>
    <w:p w:rsidR="008E082E" w:rsidRDefault="008E082E">
      <w:pPr>
        <w:overflowPunct/>
        <w:autoSpaceDE/>
        <w:autoSpaceDN/>
        <w:adjustRightInd/>
        <w:spacing w:after="200" w:line="276" w:lineRule="auto"/>
        <w:textAlignment w:val="auto"/>
        <w:rPr>
          <w:b/>
          <w:sz w:val="22"/>
          <w:szCs w:val="22"/>
        </w:rPr>
      </w:pPr>
      <w:r>
        <w:rPr>
          <w:b/>
          <w:sz w:val="22"/>
          <w:szCs w:val="22"/>
        </w:rPr>
        <w:br w:type="page"/>
      </w:r>
    </w:p>
    <w:p w:rsidR="00A17102" w:rsidRDefault="008E082E" w:rsidP="00A17102">
      <w:pPr>
        <w:overflowPunct/>
        <w:autoSpaceDE/>
        <w:autoSpaceDN/>
        <w:adjustRightInd/>
        <w:spacing w:after="200" w:line="276" w:lineRule="auto"/>
        <w:textAlignment w:val="auto"/>
        <w:rPr>
          <w:sz w:val="22"/>
          <w:szCs w:val="22"/>
        </w:rPr>
      </w:pPr>
      <w:r>
        <w:rPr>
          <w:b/>
          <w:sz w:val="22"/>
          <w:szCs w:val="22"/>
        </w:rPr>
        <w:t xml:space="preserve">Table 5.  </w:t>
      </w:r>
      <w:r w:rsidR="00A17102">
        <w:rPr>
          <w:sz w:val="22"/>
          <w:szCs w:val="22"/>
        </w:rPr>
        <w:t>Vector autoregressive model: Three endogenous variables (VAR:3)</w:t>
      </w:r>
    </w:p>
    <w:tbl>
      <w:tblPr>
        <w:tblW w:w="0" w:type="auto"/>
        <w:tblInd w:w="93" w:type="dxa"/>
        <w:tblLook w:val="04A0"/>
      </w:tblPr>
      <w:tblGrid>
        <w:gridCol w:w="1972"/>
        <w:gridCol w:w="650"/>
        <w:gridCol w:w="368"/>
        <w:gridCol w:w="750"/>
        <w:gridCol w:w="671"/>
        <w:gridCol w:w="344"/>
        <w:gridCol w:w="815"/>
        <w:gridCol w:w="673"/>
        <w:gridCol w:w="317"/>
        <w:gridCol w:w="750"/>
      </w:tblGrid>
      <w:tr w:rsidR="008E082E" w:rsidRPr="008E082E" w:rsidTr="00C902DA">
        <w:trPr>
          <w:trHeight w:val="20"/>
        </w:trPr>
        <w:tc>
          <w:tcPr>
            <w:tcW w:w="0" w:type="auto"/>
            <w:gridSpan w:val="10"/>
            <w:tcBorders>
              <w:top w:val="single" w:sz="12" w:space="0" w:color="auto"/>
              <w:left w:val="nil"/>
              <w:bottom w:val="nil"/>
              <w:right w:val="nil"/>
            </w:tcBorders>
            <w:shd w:val="clear" w:color="auto" w:fill="auto"/>
            <w:noWrap/>
            <w:vAlign w:val="bottom"/>
            <w:hideMark/>
          </w:tcPr>
          <w:p w:rsidR="008E082E" w:rsidRPr="008E082E" w:rsidRDefault="008E082E" w:rsidP="00C902DA">
            <w:pPr>
              <w:overflowPunct/>
              <w:autoSpaceDE/>
              <w:autoSpaceDN/>
              <w:adjustRightInd/>
              <w:spacing w:before="80"/>
              <w:textAlignment w:val="auto"/>
              <w:rPr>
                <w:color w:val="000000"/>
              </w:rPr>
            </w:pPr>
            <w:r w:rsidRPr="008E082E">
              <w:rPr>
                <w:b/>
                <w:bCs/>
                <w:color w:val="000000"/>
              </w:rPr>
              <w:t xml:space="preserve">Panel A.  </w:t>
            </w:r>
            <w:r w:rsidR="001F61F1">
              <w:rPr>
                <w:color w:val="000000"/>
              </w:rPr>
              <w:t>Three endogenous</w:t>
            </w:r>
            <w:r w:rsidR="00BE78A5">
              <w:rPr>
                <w:color w:val="000000"/>
              </w:rPr>
              <w:t xml:space="preserve"> only</w:t>
            </w:r>
          </w:p>
        </w:tc>
      </w:tr>
      <w:tr w:rsidR="008E082E" w:rsidRPr="008E082E" w:rsidTr="008E082E">
        <w:trPr>
          <w:trHeight w:val="20"/>
        </w:trPr>
        <w:tc>
          <w:tcPr>
            <w:tcW w:w="0" w:type="auto"/>
            <w:tcBorders>
              <w:top w:val="nil"/>
              <w:left w:val="nil"/>
              <w:bottom w:val="nil"/>
              <w:right w:val="nil"/>
            </w:tcBorders>
            <w:shd w:val="clear" w:color="auto" w:fill="auto"/>
            <w:noWrap/>
            <w:vAlign w:val="bottom"/>
            <w:hideMark/>
          </w:tcPr>
          <w:p w:rsidR="008E082E" w:rsidRPr="00F85A66" w:rsidRDefault="00F85A66" w:rsidP="008E082E">
            <w:pPr>
              <w:overflowPunct/>
              <w:autoSpaceDE/>
              <w:autoSpaceDN/>
              <w:adjustRightInd/>
              <w:jc w:val="right"/>
              <w:textAlignment w:val="auto"/>
              <w:rPr>
                <w:i/>
                <w:color w:val="000000"/>
              </w:rPr>
            </w:pPr>
            <w:r w:rsidRPr="00F85A66">
              <w:rPr>
                <w:i/>
                <w:color w:val="000000"/>
              </w:rPr>
              <w:t>Dependent</w:t>
            </w:r>
            <w:r w:rsidR="008E082E" w:rsidRPr="00F85A66">
              <w:rPr>
                <w:i/>
                <w:color w:val="000000"/>
              </w:rPr>
              <w:t>:</w:t>
            </w:r>
          </w:p>
        </w:tc>
        <w:tc>
          <w:tcPr>
            <w:tcW w:w="0" w:type="auto"/>
            <w:gridSpan w:val="3"/>
            <w:tcBorders>
              <w:top w:val="nil"/>
              <w:left w:val="nil"/>
              <w:bottom w:val="nil"/>
              <w:right w:val="nil"/>
            </w:tcBorders>
            <w:shd w:val="clear" w:color="auto" w:fill="auto"/>
            <w:noWrap/>
            <w:vAlign w:val="bottom"/>
            <w:hideMark/>
          </w:tcPr>
          <w:p w:rsidR="008E082E" w:rsidRPr="008E082E" w:rsidRDefault="008E082E" w:rsidP="008E082E">
            <w:pPr>
              <w:overflowPunct/>
              <w:autoSpaceDE/>
              <w:autoSpaceDN/>
              <w:adjustRightInd/>
              <w:jc w:val="center"/>
              <w:textAlignment w:val="auto"/>
              <w:rPr>
                <w:i/>
                <w:iCs/>
                <w:color w:val="000000"/>
              </w:rPr>
            </w:pPr>
            <w:r w:rsidRPr="008E082E">
              <w:rPr>
                <w:i/>
                <w:iCs/>
                <w:color w:val="000000"/>
              </w:rPr>
              <w:t>Income Returns</w:t>
            </w:r>
            <w:r w:rsidR="00F85A66" w:rsidRPr="00F85A66">
              <w:rPr>
                <w:i/>
                <w:iCs/>
                <w:color w:val="000000"/>
                <w:vertAlign w:val="subscript"/>
              </w:rPr>
              <w:t>t</w:t>
            </w:r>
          </w:p>
        </w:tc>
        <w:tc>
          <w:tcPr>
            <w:tcW w:w="0" w:type="auto"/>
            <w:gridSpan w:val="3"/>
            <w:tcBorders>
              <w:top w:val="nil"/>
              <w:left w:val="nil"/>
              <w:bottom w:val="nil"/>
              <w:right w:val="nil"/>
            </w:tcBorders>
            <w:shd w:val="clear" w:color="auto" w:fill="auto"/>
            <w:noWrap/>
            <w:vAlign w:val="bottom"/>
            <w:hideMark/>
          </w:tcPr>
          <w:p w:rsidR="008E082E" w:rsidRPr="00F85A66" w:rsidRDefault="008E082E" w:rsidP="008E082E">
            <w:pPr>
              <w:overflowPunct/>
              <w:autoSpaceDE/>
              <w:autoSpaceDN/>
              <w:adjustRightInd/>
              <w:jc w:val="center"/>
              <w:textAlignment w:val="auto"/>
              <w:rPr>
                <w:i/>
                <w:iCs/>
                <w:color w:val="000000"/>
                <w:vertAlign w:val="subscript"/>
              </w:rPr>
            </w:pPr>
            <w:r w:rsidRPr="008E082E">
              <w:rPr>
                <w:i/>
                <w:iCs/>
                <w:color w:val="000000"/>
              </w:rPr>
              <w:t>CRE Lending Index</w:t>
            </w:r>
            <w:r w:rsidR="00F85A66">
              <w:rPr>
                <w:i/>
                <w:iCs/>
                <w:color w:val="000000"/>
                <w:vertAlign w:val="subscript"/>
              </w:rPr>
              <w:t>t</w:t>
            </w:r>
          </w:p>
        </w:tc>
        <w:tc>
          <w:tcPr>
            <w:tcW w:w="0" w:type="auto"/>
            <w:gridSpan w:val="3"/>
            <w:tcBorders>
              <w:top w:val="nil"/>
              <w:left w:val="nil"/>
              <w:bottom w:val="nil"/>
              <w:right w:val="nil"/>
            </w:tcBorders>
            <w:shd w:val="clear" w:color="auto" w:fill="auto"/>
            <w:noWrap/>
            <w:vAlign w:val="bottom"/>
            <w:hideMark/>
          </w:tcPr>
          <w:p w:rsidR="008E082E" w:rsidRPr="00F85A66" w:rsidRDefault="008E082E" w:rsidP="008E082E">
            <w:pPr>
              <w:overflowPunct/>
              <w:autoSpaceDE/>
              <w:autoSpaceDN/>
              <w:adjustRightInd/>
              <w:jc w:val="center"/>
              <w:textAlignment w:val="auto"/>
              <w:rPr>
                <w:i/>
                <w:iCs/>
                <w:color w:val="000000"/>
                <w:vertAlign w:val="subscript"/>
              </w:rPr>
            </w:pPr>
            <w:r w:rsidRPr="008E082E">
              <w:rPr>
                <w:i/>
                <w:iCs/>
                <w:color w:val="000000"/>
              </w:rPr>
              <w:t>Capital Gains</w:t>
            </w:r>
            <w:r w:rsidR="00F85A66">
              <w:rPr>
                <w:i/>
                <w:iCs/>
                <w:color w:val="000000"/>
                <w:vertAlign w:val="subscript"/>
              </w:rPr>
              <w:t>t</w:t>
            </w:r>
          </w:p>
        </w:tc>
      </w:tr>
      <w:tr w:rsidR="008E082E" w:rsidRPr="008E082E" w:rsidTr="008E082E">
        <w:trPr>
          <w:trHeight w:val="20"/>
        </w:trPr>
        <w:tc>
          <w:tcPr>
            <w:tcW w:w="0" w:type="auto"/>
            <w:tcBorders>
              <w:top w:val="nil"/>
              <w:left w:val="nil"/>
              <w:bottom w:val="double" w:sz="6" w:space="0" w:color="auto"/>
              <w:right w:val="nil"/>
            </w:tcBorders>
            <w:shd w:val="clear" w:color="auto" w:fill="auto"/>
            <w:noWrap/>
            <w:vAlign w:val="bottom"/>
            <w:hideMark/>
          </w:tcPr>
          <w:p w:rsidR="008E082E" w:rsidRPr="008E082E" w:rsidRDefault="008E082E" w:rsidP="008E082E">
            <w:pPr>
              <w:overflowPunct/>
              <w:autoSpaceDE/>
              <w:autoSpaceDN/>
              <w:adjustRightInd/>
              <w:textAlignment w:val="auto"/>
              <w:rPr>
                <w:color w:val="000000"/>
              </w:rPr>
            </w:pPr>
            <w:r w:rsidRPr="008E082E">
              <w:rPr>
                <w:color w:val="000000"/>
              </w:rPr>
              <w:t>Variable</w:t>
            </w:r>
          </w:p>
        </w:tc>
        <w:tc>
          <w:tcPr>
            <w:tcW w:w="0" w:type="auto"/>
            <w:gridSpan w:val="2"/>
            <w:tcBorders>
              <w:top w:val="nil"/>
              <w:left w:val="nil"/>
              <w:bottom w:val="double" w:sz="6" w:space="0" w:color="auto"/>
              <w:right w:val="nil"/>
            </w:tcBorders>
            <w:shd w:val="clear" w:color="auto" w:fill="auto"/>
            <w:noWrap/>
            <w:vAlign w:val="bottom"/>
            <w:hideMark/>
          </w:tcPr>
          <w:p w:rsidR="008E082E" w:rsidRPr="008E082E" w:rsidRDefault="008E082E" w:rsidP="008E082E">
            <w:pPr>
              <w:overflowPunct/>
              <w:autoSpaceDE/>
              <w:autoSpaceDN/>
              <w:adjustRightInd/>
              <w:jc w:val="center"/>
              <w:textAlignment w:val="auto"/>
              <w:rPr>
                <w:color w:val="000000"/>
              </w:rPr>
            </w:pPr>
            <w:r w:rsidRPr="008E082E">
              <w:rPr>
                <w:color w:val="000000"/>
              </w:rPr>
              <w:t>Coef</w:t>
            </w:r>
          </w:p>
        </w:tc>
        <w:tc>
          <w:tcPr>
            <w:tcW w:w="0" w:type="auto"/>
            <w:tcBorders>
              <w:top w:val="nil"/>
              <w:left w:val="nil"/>
              <w:bottom w:val="double" w:sz="6" w:space="0" w:color="auto"/>
              <w:right w:val="nil"/>
            </w:tcBorders>
            <w:shd w:val="clear" w:color="auto" w:fill="auto"/>
            <w:noWrap/>
            <w:vAlign w:val="bottom"/>
            <w:hideMark/>
          </w:tcPr>
          <w:p w:rsidR="008E082E" w:rsidRPr="008E082E" w:rsidRDefault="00532660" w:rsidP="000D4BF4">
            <w:pPr>
              <w:overflowPunct/>
              <w:autoSpaceDE/>
              <w:autoSpaceDN/>
              <w:adjustRightInd/>
              <w:textAlignment w:val="auto"/>
              <w:rPr>
                <w:color w:val="000000"/>
              </w:rPr>
            </w:pPr>
            <w:r>
              <w:rPr>
                <w:color w:val="000000"/>
              </w:rPr>
              <w:t>(</w:t>
            </w:r>
            <w:r w:rsidR="008E082E" w:rsidRPr="008E082E">
              <w:rPr>
                <w:color w:val="000000"/>
              </w:rPr>
              <w:t>t-stat</w:t>
            </w:r>
            <w:r>
              <w:rPr>
                <w:color w:val="000000"/>
              </w:rPr>
              <w:t>)</w:t>
            </w:r>
          </w:p>
        </w:tc>
        <w:tc>
          <w:tcPr>
            <w:tcW w:w="0" w:type="auto"/>
            <w:gridSpan w:val="2"/>
            <w:tcBorders>
              <w:top w:val="nil"/>
              <w:left w:val="nil"/>
              <w:bottom w:val="double" w:sz="6" w:space="0" w:color="auto"/>
              <w:right w:val="nil"/>
            </w:tcBorders>
            <w:shd w:val="clear" w:color="auto" w:fill="auto"/>
            <w:noWrap/>
            <w:vAlign w:val="bottom"/>
            <w:hideMark/>
          </w:tcPr>
          <w:p w:rsidR="008E082E" w:rsidRPr="008E082E" w:rsidRDefault="008E082E" w:rsidP="008E082E">
            <w:pPr>
              <w:overflowPunct/>
              <w:autoSpaceDE/>
              <w:autoSpaceDN/>
              <w:adjustRightInd/>
              <w:jc w:val="center"/>
              <w:textAlignment w:val="auto"/>
              <w:rPr>
                <w:color w:val="000000"/>
              </w:rPr>
            </w:pPr>
            <w:r w:rsidRPr="008E082E">
              <w:rPr>
                <w:color w:val="000000"/>
              </w:rPr>
              <w:t>Coef</w:t>
            </w:r>
          </w:p>
        </w:tc>
        <w:tc>
          <w:tcPr>
            <w:tcW w:w="0" w:type="auto"/>
            <w:tcBorders>
              <w:top w:val="nil"/>
              <w:left w:val="nil"/>
              <w:bottom w:val="double" w:sz="6" w:space="0" w:color="auto"/>
              <w:right w:val="nil"/>
            </w:tcBorders>
            <w:shd w:val="clear" w:color="auto" w:fill="auto"/>
            <w:noWrap/>
            <w:vAlign w:val="bottom"/>
            <w:hideMark/>
          </w:tcPr>
          <w:p w:rsidR="008E082E" w:rsidRPr="008E082E" w:rsidRDefault="00532660" w:rsidP="000D4BF4">
            <w:pPr>
              <w:overflowPunct/>
              <w:autoSpaceDE/>
              <w:autoSpaceDN/>
              <w:adjustRightInd/>
              <w:textAlignment w:val="auto"/>
              <w:rPr>
                <w:color w:val="000000"/>
              </w:rPr>
            </w:pPr>
            <w:r>
              <w:rPr>
                <w:color w:val="000000"/>
              </w:rPr>
              <w:t>(</w:t>
            </w:r>
            <w:r w:rsidR="008E082E" w:rsidRPr="008E082E">
              <w:rPr>
                <w:color w:val="000000"/>
              </w:rPr>
              <w:t>t-stat</w:t>
            </w:r>
            <w:r>
              <w:rPr>
                <w:color w:val="000000"/>
              </w:rPr>
              <w:t>)</w:t>
            </w:r>
          </w:p>
        </w:tc>
        <w:tc>
          <w:tcPr>
            <w:tcW w:w="0" w:type="auto"/>
            <w:gridSpan w:val="2"/>
            <w:tcBorders>
              <w:top w:val="nil"/>
              <w:left w:val="nil"/>
              <w:bottom w:val="double" w:sz="6" w:space="0" w:color="auto"/>
              <w:right w:val="nil"/>
            </w:tcBorders>
            <w:shd w:val="clear" w:color="auto" w:fill="auto"/>
            <w:noWrap/>
            <w:vAlign w:val="bottom"/>
            <w:hideMark/>
          </w:tcPr>
          <w:p w:rsidR="008E082E" w:rsidRPr="008E082E" w:rsidRDefault="008E082E" w:rsidP="008E082E">
            <w:pPr>
              <w:overflowPunct/>
              <w:autoSpaceDE/>
              <w:autoSpaceDN/>
              <w:adjustRightInd/>
              <w:jc w:val="center"/>
              <w:textAlignment w:val="auto"/>
              <w:rPr>
                <w:color w:val="000000"/>
              </w:rPr>
            </w:pPr>
            <w:r w:rsidRPr="008E082E">
              <w:rPr>
                <w:color w:val="000000"/>
              </w:rPr>
              <w:t>Coef</w:t>
            </w:r>
          </w:p>
        </w:tc>
        <w:tc>
          <w:tcPr>
            <w:tcW w:w="0" w:type="auto"/>
            <w:tcBorders>
              <w:top w:val="nil"/>
              <w:left w:val="nil"/>
              <w:bottom w:val="double" w:sz="6" w:space="0" w:color="auto"/>
              <w:right w:val="nil"/>
            </w:tcBorders>
            <w:shd w:val="clear" w:color="auto" w:fill="auto"/>
            <w:noWrap/>
            <w:vAlign w:val="bottom"/>
            <w:hideMark/>
          </w:tcPr>
          <w:p w:rsidR="008E082E" w:rsidRPr="008E082E" w:rsidRDefault="00532660" w:rsidP="000D4BF4">
            <w:pPr>
              <w:overflowPunct/>
              <w:autoSpaceDE/>
              <w:autoSpaceDN/>
              <w:adjustRightInd/>
              <w:textAlignment w:val="auto"/>
              <w:rPr>
                <w:color w:val="000000"/>
              </w:rPr>
            </w:pPr>
            <w:r>
              <w:rPr>
                <w:color w:val="000000"/>
              </w:rPr>
              <w:t>(</w:t>
            </w:r>
            <w:r w:rsidR="008E082E" w:rsidRPr="008E082E">
              <w:rPr>
                <w:color w:val="000000"/>
              </w:rPr>
              <w:t>t-stat</w:t>
            </w:r>
            <w:r>
              <w:rPr>
                <w:color w:val="000000"/>
              </w:rPr>
              <w:t>)</w:t>
            </w:r>
          </w:p>
        </w:tc>
      </w:tr>
      <w:tr w:rsidR="008E082E" w:rsidRPr="008E082E" w:rsidTr="008E082E">
        <w:trPr>
          <w:trHeight w:val="20"/>
        </w:trPr>
        <w:tc>
          <w:tcPr>
            <w:tcW w:w="0" w:type="auto"/>
            <w:tcBorders>
              <w:top w:val="nil"/>
              <w:left w:val="nil"/>
              <w:bottom w:val="nil"/>
              <w:right w:val="nil"/>
            </w:tcBorders>
            <w:shd w:val="clear" w:color="auto" w:fill="auto"/>
            <w:noWrap/>
            <w:vAlign w:val="bottom"/>
            <w:hideMark/>
          </w:tcPr>
          <w:p w:rsidR="008E082E" w:rsidRPr="00F85A66" w:rsidRDefault="008E082E" w:rsidP="00C902DA">
            <w:pPr>
              <w:overflowPunct/>
              <w:autoSpaceDE/>
              <w:autoSpaceDN/>
              <w:adjustRightInd/>
              <w:spacing w:before="60"/>
              <w:textAlignment w:val="auto"/>
              <w:rPr>
                <w:color w:val="000000"/>
                <w:vertAlign w:val="subscript"/>
              </w:rPr>
            </w:pPr>
            <w:r w:rsidRPr="008E082E">
              <w:rPr>
                <w:color w:val="000000"/>
              </w:rPr>
              <w:t>Income Returns</w:t>
            </w:r>
            <w:r w:rsidR="00F85A66">
              <w:rPr>
                <w:color w:val="000000"/>
                <w:vertAlign w:val="subscript"/>
              </w:rPr>
              <w:t>t-1</w:t>
            </w:r>
          </w:p>
        </w:tc>
        <w:tc>
          <w:tcPr>
            <w:tcW w:w="0" w:type="auto"/>
            <w:tcBorders>
              <w:top w:val="nil"/>
              <w:left w:val="nil"/>
              <w:bottom w:val="nil"/>
              <w:right w:val="nil"/>
            </w:tcBorders>
            <w:shd w:val="clear" w:color="auto" w:fill="auto"/>
            <w:noWrap/>
            <w:vAlign w:val="bottom"/>
            <w:hideMark/>
          </w:tcPr>
          <w:p w:rsidR="008E082E" w:rsidRPr="008E082E" w:rsidRDefault="008E082E" w:rsidP="00532660">
            <w:pPr>
              <w:overflowPunct/>
              <w:autoSpaceDE/>
              <w:autoSpaceDN/>
              <w:adjustRightInd/>
              <w:spacing w:before="60"/>
              <w:ind w:right="-83"/>
              <w:jc w:val="right"/>
              <w:textAlignment w:val="auto"/>
              <w:rPr>
                <w:color w:val="000000"/>
              </w:rPr>
            </w:pPr>
            <w:r w:rsidRPr="008E082E">
              <w:rPr>
                <w:color w:val="000000"/>
              </w:rPr>
              <w:t>1.000</w:t>
            </w:r>
          </w:p>
        </w:tc>
        <w:tc>
          <w:tcPr>
            <w:tcW w:w="0" w:type="auto"/>
            <w:tcBorders>
              <w:top w:val="nil"/>
              <w:left w:val="nil"/>
              <w:bottom w:val="nil"/>
              <w:right w:val="nil"/>
            </w:tcBorders>
            <w:shd w:val="clear" w:color="auto" w:fill="auto"/>
            <w:noWrap/>
            <w:vAlign w:val="bottom"/>
            <w:hideMark/>
          </w:tcPr>
          <w:p w:rsidR="008E082E" w:rsidRPr="008E082E" w:rsidRDefault="008E082E" w:rsidP="00532660">
            <w:pPr>
              <w:overflowPunct/>
              <w:autoSpaceDE/>
              <w:autoSpaceDN/>
              <w:adjustRightInd/>
              <w:spacing w:before="60"/>
              <w:ind w:left="-43"/>
              <w:textAlignment w:val="auto"/>
              <w:rPr>
                <w:color w:val="000000"/>
              </w:rPr>
            </w:pPr>
            <w:r w:rsidRPr="008E082E">
              <w:rPr>
                <w:color w:val="000000"/>
                <w:vertAlign w:val="superscript"/>
              </w:rPr>
              <w:t>***</w:t>
            </w:r>
          </w:p>
        </w:tc>
        <w:tc>
          <w:tcPr>
            <w:tcW w:w="0" w:type="auto"/>
            <w:tcBorders>
              <w:top w:val="nil"/>
              <w:left w:val="nil"/>
              <w:bottom w:val="nil"/>
              <w:right w:val="nil"/>
            </w:tcBorders>
            <w:shd w:val="clear" w:color="auto" w:fill="auto"/>
            <w:noWrap/>
            <w:vAlign w:val="bottom"/>
            <w:hideMark/>
          </w:tcPr>
          <w:p w:rsidR="008E082E" w:rsidRPr="008E082E" w:rsidRDefault="00532660" w:rsidP="000D4BF4">
            <w:pPr>
              <w:overflowPunct/>
              <w:autoSpaceDE/>
              <w:autoSpaceDN/>
              <w:adjustRightInd/>
              <w:spacing w:before="60"/>
              <w:textAlignment w:val="auto"/>
              <w:rPr>
                <w:color w:val="000000"/>
              </w:rPr>
            </w:pPr>
            <w:r>
              <w:rPr>
                <w:color w:val="000000"/>
              </w:rPr>
              <w:t>(</w:t>
            </w:r>
            <w:r w:rsidR="008E082E" w:rsidRPr="008E082E">
              <w:rPr>
                <w:color w:val="000000"/>
              </w:rPr>
              <w:t>57.0</w:t>
            </w:r>
            <w:r>
              <w:rPr>
                <w:color w:val="000000"/>
              </w:rPr>
              <w:t>)</w:t>
            </w:r>
          </w:p>
        </w:tc>
        <w:tc>
          <w:tcPr>
            <w:tcW w:w="0" w:type="auto"/>
            <w:tcBorders>
              <w:top w:val="nil"/>
              <w:left w:val="nil"/>
              <w:bottom w:val="nil"/>
              <w:right w:val="nil"/>
            </w:tcBorders>
            <w:shd w:val="clear" w:color="auto" w:fill="auto"/>
            <w:noWrap/>
            <w:vAlign w:val="bottom"/>
            <w:hideMark/>
          </w:tcPr>
          <w:p w:rsidR="008E082E" w:rsidRPr="008E082E" w:rsidRDefault="00ED183A" w:rsidP="00532660">
            <w:pPr>
              <w:overflowPunct/>
              <w:autoSpaceDE/>
              <w:autoSpaceDN/>
              <w:adjustRightInd/>
              <w:spacing w:before="60"/>
              <w:ind w:right="-115"/>
              <w:jc w:val="right"/>
              <w:textAlignment w:val="auto"/>
              <w:rPr>
                <w:color w:val="000000"/>
              </w:rPr>
            </w:pPr>
            <w:r>
              <w:rPr>
                <w:color w:val="000000"/>
              </w:rPr>
              <w:t>-</w:t>
            </w:r>
            <w:r w:rsidR="008E082E" w:rsidRPr="008E082E">
              <w:rPr>
                <w:color w:val="000000"/>
              </w:rPr>
              <w:t>0.141</w:t>
            </w:r>
          </w:p>
        </w:tc>
        <w:tc>
          <w:tcPr>
            <w:tcW w:w="0" w:type="auto"/>
            <w:tcBorders>
              <w:top w:val="nil"/>
              <w:left w:val="nil"/>
              <w:bottom w:val="nil"/>
              <w:right w:val="nil"/>
            </w:tcBorders>
            <w:shd w:val="clear" w:color="auto" w:fill="auto"/>
            <w:noWrap/>
            <w:vAlign w:val="bottom"/>
            <w:hideMark/>
          </w:tcPr>
          <w:p w:rsidR="008E082E" w:rsidRPr="008E082E" w:rsidRDefault="008E082E" w:rsidP="00532660">
            <w:pPr>
              <w:overflowPunct/>
              <w:autoSpaceDE/>
              <w:autoSpaceDN/>
              <w:adjustRightInd/>
              <w:spacing w:before="60"/>
              <w:ind w:left="-94"/>
              <w:textAlignment w:val="auto"/>
              <w:rPr>
                <w:color w:val="000000"/>
              </w:rPr>
            </w:pPr>
            <w:r w:rsidRPr="008E082E">
              <w:rPr>
                <w:color w:val="000000"/>
                <w:vertAlign w:val="superscript"/>
              </w:rPr>
              <w:t>**</w:t>
            </w:r>
          </w:p>
        </w:tc>
        <w:tc>
          <w:tcPr>
            <w:tcW w:w="0" w:type="auto"/>
            <w:tcBorders>
              <w:top w:val="nil"/>
              <w:left w:val="nil"/>
              <w:bottom w:val="nil"/>
              <w:right w:val="nil"/>
            </w:tcBorders>
            <w:shd w:val="clear" w:color="auto" w:fill="auto"/>
            <w:noWrap/>
            <w:vAlign w:val="bottom"/>
            <w:hideMark/>
          </w:tcPr>
          <w:p w:rsidR="008E082E" w:rsidRPr="008E082E" w:rsidRDefault="00532660" w:rsidP="000D4BF4">
            <w:pPr>
              <w:overflowPunct/>
              <w:autoSpaceDE/>
              <w:autoSpaceDN/>
              <w:adjustRightInd/>
              <w:spacing w:before="60"/>
              <w:textAlignment w:val="auto"/>
              <w:rPr>
                <w:color w:val="000000"/>
              </w:rPr>
            </w:pPr>
            <w:r>
              <w:rPr>
                <w:color w:val="000000"/>
              </w:rPr>
              <w:t>(</w:t>
            </w:r>
            <w:r w:rsidR="00ED183A">
              <w:rPr>
                <w:color w:val="000000"/>
              </w:rPr>
              <w:t>-</w:t>
            </w:r>
            <w:r w:rsidR="008E082E" w:rsidRPr="008E082E">
              <w:rPr>
                <w:color w:val="000000"/>
              </w:rPr>
              <w:t>2.4</w:t>
            </w:r>
            <w:r>
              <w:rPr>
                <w:color w:val="000000"/>
              </w:rPr>
              <w:t>)</w:t>
            </w:r>
          </w:p>
        </w:tc>
        <w:tc>
          <w:tcPr>
            <w:tcW w:w="0" w:type="auto"/>
            <w:tcBorders>
              <w:top w:val="nil"/>
              <w:left w:val="nil"/>
              <w:bottom w:val="nil"/>
              <w:right w:val="nil"/>
            </w:tcBorders>
            <w:shd w:val="clear" w:color="auto" w:fill="auto"/>
            <w:noWrap/>
            <w:vAlign w:val="bottom"/>
            <w:hideMark/>
          </w:tcPr>
          <w:p w:rsidR="008E082E" w:rsidRPr="008E082E" w:rsidRDefault="008E082E" w:rsidP="00532660">
            <w:pPr>
              <w:overflowPunct/>
              <w:autoSpaceDE/>
              <w:autoSpaceDN/>
              <w:adjustRightInd/>
              <w:spacing w:before="60"/>
              <w:ind w:right="-60"/>
              <w:jc w:val="right"/>
              <w:textAlignment w:val="auto"/>
              <w:rPr>
                <w:color w:val="000000"/>
              </w:rPr>
            </w:pPr>
            <w:r w:rsidRPr="008E082E">
              <w:rPr>
                <w:color w:val="000000"/>
              </w:rPr>
              <w:t>0.010</w:t>
            </w:r>
          </w:p>
        </w:tc>
        <w:tc>
          <w:tcPr>
            <w:tcW w:w="0" w:type="auto"/>
            <w:tcBorders>
              <w:top w:val="nil"/>
              <w:left w:val="nil"/>
              <w:bottom w:val="nil"/>
              <w:right w:val="nil"/>
            </w:tcBorders>
            <w:shd w:val="clear" w:color="auto" w:fill="auto"/>
            <w:noWrap/>
            <w:vAlign w:val="bottom"/>
            <w:hideMark/>
          </w:tcPr>
          <w:p w:rsidR="008E082E" w:rsidRPr="008E082E" w:rsidRDefault="008E082E" w:rsidP="00532660">
            <w:pPr>
              <w:overflowPunct/>
              <w:autoSpaceDE/>
              <w:autoSpaceDN/>
              <w:adjustRightInd/>
              <w:spacing w:before="60"/>
              <w:ind w:left="-94"/>
              <w:textAlignment w:val="auto"/>
              <w:rPr>
                <w:color w:val="000000"/>
              </w:rPr>
            </w:pPr>
          </w:p>
        </w:tc>
        <w:tc>
          <w:tcPr>
            <w:tcW w:w="0" w:type="auto"/>
            <w:tcBorders>
              <w:top w:val="nil"/>
              <w:left w:val="nil"/>
              <w:bottom w:val="nil"/>
              <w:right w:val="nil"/>
            </w:tcBorders>
            <w:shd w:val="clear" w:color="auto" w:fill="auto"/>
            <w:noWrap/>
            <w:vAlign w:val="bottom"/>
            <w:hideMark/>
          </w:tcPr>
          <w:p w:rsidR="008E082E" w:rsidRPr="008E082E" w:rsidRDefault="00532660" w:rsidP="000D4BF4">
            <w:pPr>
              <w:overflowPunct/>
              <w:autoSpaceDE/>
              <w:autoSpaceDN/>
              <w:adjustRightInd/>
              <w:spacing w:before="60"/>
              <w:textAlignment w:val="auto"/>
              <w:rPr>
                <w:color w:val="000000"/>
              </w:rPr>
            </w:pPr>
            <w:r>
              <w:rPr>
                <w:color w:val="000000"/>
              </w:rPr>
              <w:t>(</w:t>
            </w:r>
            <w:r w:rsidR="008E082E" w:rsidRPr="008E082E">
              <w:rPr>
                <w:color w:val="000000"/>
              </w:rPr>
              <w:t>0.2</w:t>
            </w:r>
            <w:r>
              <w:rPr>
                <w:color w:val="000000"/>
              </w:rPr>
              <w:t>)</w:t>
            </w:r>
          </w:p>
        </w:tc>
      </w:tr>
      <w:tr w:rsidR="008E082E" w:rsidRPr="008E082E" w:rsidTr="008E082E">
        <w:trPr>
          <w:trHeight w:val="20"/>
        </w:trPr>
        <w:tc>
          <w:tcPr>
            <w:tcW w:w="0" w:type="auto"/>
            <w:tcBorders>
              <w:top w:val="nil"/>
              <w:left w:val="nil"/>
              <w:bottom w:val="nil"/>
              <w:right w:val="nil"/>
            </w:tcBorders>
            <w:shd w:val="clear" w:color="auto" w:fill="auto"/>
            <w:noWrap/>
            <w:vAlign w:val="bottom"/>
            <w:hideMark/>
          </w:tcPr>
          <w:p w:rsidR="008E082E" w:rsidRPr="00F85A66" w:rsidRDefault="008E082E" w:rsidP="008E082E">
            <w:pPr>
              <w:overflowPunct/>
              <w:autoSpaceDE/>
              <w:autoSpaceDN/>
              <w:adjustRightInd/>
              <w:textAlignment w:val="auto"/>
              <w:rPr>
                <w:color w:val="000000"/>
                <w:vertAlign w:val="subscript"/>
              </w:rPr>
            </w:pPr>
            <w:r w:rsidRPr="008E082E">
              <w:rPr>
                <w:color w:val="000000"/>
              </w:rPr>
              <w:t>Capital Gains</w:t>
            </w:r>
            <w:r w:rsidR="00F85A66">
              <w:rPr>
                <w:color w:val="000000"/>
                <w:vertAlign w:val="subscript"/>
              </w:rPr>
              <w:t>t-1</w:t>
            </w:r>
          </w:p>
        </w:tc>
        <w:tc>
          <w:tcPr>
            <w:tcW w:w="0" w:type="auto"/>
            <w:tcBorders>
              <w:top w:val="nil"/>
              <w:left w:val="nil"/>
              <w:bottom w:val="nil"/>
              <w:right w:val="nil"/>
            </w:tcBorders>
            <w:shd w:val="clear" w:color="auto" w:fill="auto"/>
            <w:noWrap/>
            <w:vAlign w:val="bottom"/>
            <w:hideMark/>
          </w:tcPr>
          <w:p w:rsidR="008E082E" w:rsidRPr="008E082E" w:rsidRDefault="008E082E" w:rsidP="00532660">
            <w:pPr>
              <w:overflowPunct/>
              <w:autoSpaceDE/>
              <w:autoSpaceDN/>
              <w:adjustRightInd/>
              <w:ind w:right="-83"/>
              <w:jc w:val="right"/>
              <w:textAlignment w:val="auto"/>
              <w:rPr>
                <w:color w:val="000000"/>
              </w:rPr>
            </w:pPr>
            <w:r w:rsidRPr="008E082E">
              <w:rPr>
                <w:color w:val="000000"/>
              </w:rPr>
              <w:t>-0.098</w:t>
            </w:r>
          </w:p>
        </w:tc>
        <w:tc>
          <w:tcPr>
            <w:tcW w:w="0" w:type="auto"/>
            <w:tcBorders>
              <w:top w:val="nil"/>
              <w:left w:val="nil"/>
              <w:bottom w:val="nil"/>
              <w:right w:val="nil"/>
            </w:tcBorders>
            <w:shd w:val="clear" w:color="auto" w:fill="auto"/>
            <w:noWrap/>
            <w:vAlign w:val="bottom"/>
            <w:hideMark/>
          </w:tcPr>
          <w:p w:rsidR="008E082E" w:rsidRPr="008E082E" w:rsidRDefault="008E082E" w:rsidP="00532660">
            <w:pPr>
              <w:overflowPunct/>
              <w:autoSpaceDE/>
              <w:autoSpaceDN/>
              <w:adjustRightInd/>
              <w:ind w:left="-43"/>
              <w:textAlignment w:val="auto"/>
              <w:rPr>
                <w:color w:val="000000"/>
              </w:rPr>
            </w:pPr>
            <w:r w:rsidRPr="008E082E">
              <w:rPr>
                <w:color w:val="000000"/>
                <w:vertAlign w:val="superscript"/>
              </w:rPr>
              <w:t>***</w:t>
            </w:r>
          </w:p>
        </w:tc>
        <w:tc>
          <w:tcPr>
            <w:tcW w:w="0" w:type="auto"/>
            <w:tcBorders>
              <w:top w:val="nil"/>
              <w:left w:val="nil"/>
              <w:bottom w:val="nil"/>
              <w:right w:val="nil"/>
            </w:tcBorders>
            <w:shd w:val="clear" w:color="auto" w:fill="auto"/>
            <w:noWrap/>
            <w:vAlign w:val="bottom"/>
            <w:hideMark/>
          </w:tcPr>
          <w:p w:rsidR="008E082E" w:rsidRPr="008E082E" w:rsidRDefault="00532660" w:rsidP="000D4BF4">
            <w:pPr>
              <w:overflowPunct/>
              <w:autoSpaceDE/>
              <w:autoSpaceDN/>
              <w:adjustRightInd/>
              <w:textAlignment w:val="auto"/>
              <w:rPr>
                <w:color w:val="000000"/>
              </w:rPr>
            </w:pPr>
            <w:r>
              <w:rPr>
                <w:color w:val="000000"/>
              </w:rPr>
              <w:t>(</w:t>
            </w:r>
            <w:r w:rsidR="008E082E" w:rsidRPr="008E082E">
              <w:rPr>
                <w:color w:val="000000"/>
              </w:rPr>
              <w:t>-4.9</w:t>
            </w:r>
            <w:r>
              <w:rPr>
                <w:color w:val="000000"/>
              </w:rPr>
              <w:t>)</w:t>
            </w:r>
          </w:p>
        </w:tc>
        <w:tc>
          <w:tcPr>
            <w:tcW w:w="0" w:type="auto"/>
            <w:tcBorders>
              <w:top w:val="nil"/>
              <w:left w:val="nil"/>
              <w:bottom w:val="nil"/>
              <w:right w:val="nil"/>
            </w:tcBorders>
            <w:shd w:val="clear" w:color="auto" w:fill="auto"/>
            <w:noWrap/>
            <w:vAlign w:val="bottom"/>
            <w:hideMark/>
          </w:tcPr>
          <w:p w:rsidR="008E082E" w:rsidRPr="008E082E" w:rsidRDefault="00ED183A" w:rsidP="00532660">
            <w:pPr>
              <w:overflowPunct/>
              <w:autoSpaceDE/>
              <w:autoSpaceDN/>
              <w:adjustRightInd/>
              <w:ind w:right="-115"/>
              <w:jc w:val="right"/>
              <w:textAlignment w:val="auto"/>
              <w:rPr>
                <w:color w:val="000000"/>
              </w:rPr>
            </w:pPr>
            <w:r>
              <w:rPr>
                <w:color w:val="000000"/>
              </w:rPr>
              <w:t>-</w:t>
            </w:r>
            <w:r w:rsidR="008E082E" w:rsidRPr="008E082E">
              <w:rPr>
                <w:color w:val="000000"/>
              </w:rPr>
              <w:t>0.127</w:t>
            </w:r>
          </w:p>
        </w:tc>
        <w:tc>
          <w:tcPr>
            <w:tcW w:w="0" w:type="auto"/>
            <w:tcBorders>
              <w:top w:val="nil"/>
              <w:left w:val="nil"/>
              <w:bottom w:val="nil"/>
              <w:right w:val="nil"/>
            </w:tcBorders>
            <w:shd w:val="clear" w:color="auto" w:fill="auto"/>
            <w:noWrap/>
            <w:vAlign w:val="bottom"/>
            <w:hideMark/>
          </w:tcPr>
          <w:p w:rsidR="008E082E" w:rsidRPr="008E082E" w:rsidRDefault="008E082E" w:rsidP="00532660">
            <w:pPr>
              <w:overflowPunct/>
              <w:autoSpaceDE/>
              <w:autoSpaceDN/>
              <w:adjustRightInd/>
              <w:ind w:left="-94"/>
              <w:textAlignment w:val="auto"/>
              <w:rPr>
                <w:color w:val="000000"/>
              </w:rPr>
            </w:pPr>
            <w:r w:rsidRPr="008E082E">
              <w:rPr>
                <w:color w:val="000000"/>
                <w:vertAlign w:val="superscript"/>
              </w:rPr>
              <w:t>*</w:t>
            </w:r>
          </w:p>
        </w:tc>
        <w:tc>
          <w:tcPr>
            <w:tcW w:w="0" w:type="auto"/>
            <w:tcBorders>
              <w:top w:val="nil"/>
              <w:left w:val="nil"/>
              <w:bottom w:val="nil"/>
              <w:right w:val="nil"/>
            </w:tcBorders>
            <w:shd w:val="clear" w:color="auto" w:fill="auto"/>
            <w:noWrap/>
            <w:vAlign w:val="bottom"/>
            <w:hideMark/>
          </w:tcPr>
          <w:p w:rsidR="008E082E" w:rsidRPr="008E082E" w:rsidRDefault="00532660" w:rsidP="000D4BF4">
            <w:pPr>
              <w:overflowPunct/>
              <w:autoSpaceDE/>
              <w:autoSpaceDN/>
              <w:adjustRightInd/>
              <w:textAlignment w:val="auto"/>
              <w:rPr>
                <w:color w:val="000000"/>
              </w:rPr>
            </w:pPr>
            <w:r>
              <w:rPr>
                <w:color w:val="000000"/>
              </w:rPr>
              <w:t>(</w:t>
            </w:r>
            <w:r w:rsidR="00ED183A">
              <w:rPr>
                <w:color w:val="000000"/>
              </w:rPr>
              <w:t>-</w:t>
            </w:r>
            <w:r w:rsidR="008E082E" w:rsidRPr="008E082E">
              <w:rPr>
                <w:color w:val="000000"/>
              </w:rPr>
              <w:t>1.9</w:t>
            </w:r>
            <w:r>
              <w:rPr>
                <w:color w:val="000000"/>
              </w:rPr>
              <w:t>)</w:t>
            </w:r>
          </w:p>
        </w:tc>
        <w:tc>
          <w:tcPr>
            <w:tcW w:w="0" w:type="auto"/>
            <w:tcBorders>
              <w:top w:val="nil"/>
              <w:left w:val="nil"/>
              <w:bottom w:val="nil"/>
              <w:right w:val="nil"/>
            </w:tcBorders>
            <w:shd w:val="clear" w:color="auto" w:fill="auto"/>
            <w:noWrap/>
            <w:vAlign w:val="bottom"/>
            <w:hideMark/>
          </w:tcPr>
          <w:p w:rsidR="008E082E" w:rsidRPr="008E082E" w:rsidRDefault="008E082E" w:rsidP="00532660">
            <w:pPr>
              <w:overflowPunct/>
              <w:autoSpaceDE/>
              <w:autoSpaceDN/>
              <w:adjustRightInd/>
              <w:ind w:right="-60"/>
              <w:jc w:val="right"/>
              <w:textAlignment w:val="auto"/>
              <w:rPr>
                <w:color w:val="000000"/>
              </w:rPr>
            </w:pPr>
            <w:r w:rsidRPr="008E082E">
              <w:rPr>
                <w:color w:val="000000"/>
              </w:rPr>
              <w:t>0.689</w:t>
            </w:r>
          </w:p>
        </w:tc>
        <w:tc>
          <w:tcPr>
            <w:tcW w:w="0" w:type="auto"/>
            <w:tcBorders>
              <w:top w:val="nil"/>
              <w:left w:val="nil"/>
              <w:bottom w:val="nil"/>
              <w:right w:val="nil"/>
            </w:tcBorders>
            <w:shd w:val="clear" w:color="auto" w:fill="auto"/>
            <w:noWrap/>
            <w:vAlign w:val="bottom"/>
            <w:hideMark/>
          </w:tcPr>
          <w:p w:rsidR="008E082E" w:rsidRPr="008E082E" w:rsidRDefault="008E082E" w:rsidP="00532660">
            <w:pPr>
              <w:overflowPunct/>
              <w:autoSpaceDE/>
              <w:autoSpaceDN/>
              <w:adjustRightInd/>
              <w:ind w:left="-94"/>
              <w:textAlignment w:val="auto"/>
              <w:rPr>
                <w:color w:val="000000"/>
              </w:rPr>
            </w:pPr>
            <w:r w:rsidRPr="008E082E">
              <w:rPr>
                <w:color w:val="000000"/>
                <w:vertAlign w:val="superscript"/>
              </w:rPr>
              <w:t>***</w:t>
            </w:r>
          </w:p>
        </w:tc>
        <w:tc>
          <w:tcPr>
            <w:tcW w:w="0" w:type="auto"/>
            <w:tcBorders>
              <w:top w:val="nil"/>
              <w:left w:val="nil"/>
              <w:bottom w:val="nil"/>
              <w:right w:val="nil"/>
            </w:tcBorders>
            <w:shd w:val="clear" w:color="auto" w:fill="auto"/>
            <w:noWrap/>
            <w:vAlign w:val="bottom"/>
            <w:hideMark/>
          </w:tcPr>
          <w:p w:rsidR="008E082E" w:rsidRPr="008E082E" w:rsidRDefault="00532660" w:rsidP="000D4BF4">
            <w:pPr>
              <w:overflowPunct/>
              <w:autoSpaceDE/>
              <w:autoSpaceDN/>
              <w:adjustRightInd/>
              <w:textAlignment w:val="auto"/>
              <w:rPr>
                <w:color w:val="000000"/>
              </w:rPr>
            </w:pPr>
            <w:r>
              <w:rPr>
                <w:color w:val="000000"/>
              </w:rPr>
              <w:t>(</w:t>
            </w:r>
            <w:r w:rsidR="008E082E" w:rsidRPr="008E082E">
              <w:rPr>
                <w:color w:val="000000"/>
              </w:rPr>
              <w:t>8.8</w:t>
            </w:r>
            <w:r>
              <w:rPr>
                <w:color w:val="000000"/>
              </w:rPr>
              <w:t>)</w:t>
            </w:r>
          </w:p>
        </w:tc>
      </w:tr>
      <w:tr w:rsidR="008E082E" w:rsidRPr="008E082E" w:rsidTr="00C902DA">
        <w:trPr>
          <w:trHeight w:val="20"/>
        </w:trPr>
        <w:tc>
          <w:tcPr>
            <w:tcW w:w="0" w:type="auto"/>
            <w:tcBorders>
              <w:top w:val="nil"/>
              <w:left w:val="nil"/>
              <w:bottom w:val="single" w:sz="12" w:space="0" w:color="auto"/>
              <w:right w:val="nil"/>
            </w:tcBorders>
            <w:shd w:val="clear" w:color="auto" w:fill="auto"/>
            <w:noWrap/>
            <w:vAlign w:val="bottom"/>
            <w:hideMark/>
          </w:tcPr>
          <w:p w:rsidR="008E082E" w:rsidRPr="00F85A66" w:rsidRDefault="008E082E" w:rsidP="00C902DA">
            <w:pPr>
              <w:overflowPunct/>
              <w:autoSpaceDE/>
              <w:autoSpaceDN/>
              <w:adjustRightInd/>
              <w:spacing w:after="60"/>
              <w:textAlignment w:val="auto"/>
              <w:rPr>
                <w:color w:val="000000"/>
                <w:vertAlign w:val="subscript"/>
              </w:rPr>
            </w:pPr>
            <w:r w:rsidRPr="008E082E">
              <w:rPr>
                <w:color w:val="000000"/>
              </w:rPr>
              <w:t>CRE Lending Index</w:t>
            </w:r>
            <w:r w:rsidR="00F85A66">
              <w:rPr>
                <w:color w:val="000000"/>
                <w:vertAlign w:val="subscript"/>
              </w:rPr>
              <w:t>t-1</w:t>
            </w:r>
          </w:p>
        </w:tc>
        <w:tc>
          <w:tcPr>
            <w:tcW w:w="0" w:type="auto"/>
            <w:tcBorders>
              <w:top w:val="nil"/>
              <w:left w:val="nil"/>
              <w:bottom w:val="single" w:sz="12" w:space="0" w:color="auto"/>
              <w:right w:val="nil"/>
            </w:tcBorders>
            <w:shd w:val="clear" w:color="auto" w:fill="auto"/>
            <w:noWrap/>
            <w:vAlign w:val="bottom"/>
            <w:hideMark/>
          </w:tcPr>
          <w:p w:rsidR="008E082E" w:rsidRPr="008E082E" w:rsidRDefault="008E082E" w:rsidP="00532660">
            <w:pPr>
              <w:overflowPunct/>
              <w:autoSpaceDE/>
              <w:autoSpaceDN/>
              <w:adjustRightInd/>
              <w:spacing w:after="60"/>
              <w:ind w:right="-83"/>
              <w:jc w:val="right"/>
              <w:textAlignment w:val="auto"/>
              <w:rPr>
                <w:color w:val="000000"/>
              </w:rPr>
            </w:pPr>
            <w:r w:rsidRPr="008E082E">
              <w:rPr>
                <w:color w:val="000000"/>
              </w:rPr>
              <w:t>0.004</w:t>
            </w:r>
          </w:p>
        </w:tc>
        <w:tc>
          <w:tcPr>
            <w:tcW w:w="0" w:type="auto"/>
            <w:tcBorders>
              <w:top w:val="nil"/>
              <w:left w:val="nil"/>
              <w:bottom w:val="single" w:sz="12" w:space="0" w:color="auto"/>
              <w:right w:val="nil"/>
            </w:tcBorders>
            <w:shd w:val="clear" w:color="auto" w:fill="auto"/>
            <w:noWrap/>
            <w:vAlign w:val="bottom"/>
            <w:hideMark/>
          </w:tcPr>
          <w:p w:rsidR="008E082E" w:rsidRPr="008E082E" w:rsidRDefault="008E082E" w:rsidP="00532660">
            <w:pPr>
              <w:overflowPunct/>
              <w:autoSpaceDE/>
              <w:autoSpaceDN/>
              <w:adjustRightInd/>
              <w:spacing w:after="60"/>
              <w:ind w:left="-43"/>
              <w:textAlignment w:val="auto"/>
              <w:rPr>
                <w:color w:val="000000"/>
              </w:rPr>
            </w:pPr>
          </w:p>
        </w:tc>
        <w:tc>
          <w:tcPr>
            <w:tcW w:w="0" w:type="auto"/>
            <w:tcBorders>
              <w:top w:val="nil"/>
              <w:left w:val="nil"/>
              <w:bottom w:val="single" w:sz="12" w:space="0" w:color="auto"/>
              <w:right w:val="nil"/>
            </w:tcBorders>
            <w:shd w:val="clear" w:color="auto" w:fill="auto"/>
            <w:noWrap/>
            <w:vAlign w:val="bottom"/>
            <w:hideMark/>
          </w:tcPr>
          <w:p w:rsidR="008E082E" w:rsidRPr="008E082E" w:rsidRDefault="00532660" w:rsidP="000D4BF4">
            <w:pPr>
              <w:overflowPunct/>
              <w:autoSpaceDE/>
              <w:autoSpaceDN/>
              <w:adjustRightInd/>
              <w:spacing w:after="60"/>
              <w:textAlignment w:val="auto"/>
              <w:rPr>
                <w:color w:val="000000"/>
              </w:rPr>
            </w:pPr>
            <w:r>
              <w:rPr>
                <w:color w:val="000000"/>
              </w:rPr>
              <w:t>(</w:t>
            </w:r>
            <w:r w:rsidR="008E082E" w:rsidRPr="008E082E">
              <w:rPr>
                <w:color w:val="000000"/>
              </w:rPr>
              <w:t>0.2</w:t>
            </w:r>
            <w:r>
              <w:rPr>
                <w:color w:val="000000"/>
              </w:rPr>
              <w:t>)</w:t>
            </w:r>
          </w:p>
        </w:tc>
        <w:tc>
          <w:tcPr>
            <w:tcW w:w="0" w:type="auto"/>
            <w:tcBorders>
              <w:top w:val="nil"/>
              <w:left w:val="nil"/>
              <w:bottom w:val="single" w:sz="12" w:space="0" w:color="auto"/>
              <w:right w:val="nil"/>
            </w:tcBorders>
            <w:shd w:val="clear" w:color="auto" w:fill="auto"/>
            <w:noWrap/>
            <w:vAlign w:val="bottom"/>
            <w:hideMark/>
          </w:tcPr>
          <w:p w:rsidR="008E082E" w:rsidRPr="008E082E" w:rsidRDefault="008E082E" w:rsidP="00532660">
            <w:pPr>
              <w:overflowPunct/>
              <w:autoSpaceDE/>
              <w:autoSpaceDN/>
              <w:adjustRightInd/>
              <w:spacing w:after="60"/>
              <w:ind w:right="-115"/>
              <w:jc w:val="right"/>
              <w:textAlignment w:val="auto"/>
              <w:rPr>
                <w:color w:val="000000"/>
              </w:rPr>
            </w:pPr>
            <w:r w:rsidRPr="008E082E">
              <w:rPr>
                <w:color w:val="000000"/>
              </w:rPr>
              <w:t>0.701</w:t>
            </w:r>
          </w:p>
        </w:tc>
        <w:tc>
          <w:tcPr>
            <w:tcW w:w="0" w:type="auto"/>
            <w:tcBorders>
              <w:top w:val="nil"/>
              <w:left w:val="nil"/>
              <w:bottom w:val="single" w:sz="12" w:space="0" w:color="auto"/>
              <w:right w:val="nil"/>
            </w:tcBorders>
            <w:shd w:val="clear" w:color="auto" w:fill="auto"/>
            <w:noWrap/>
            <w:vAlign w:val="bottom"/>
            <w:hideMark/>
          </w:tcPr>
          <w:p w:rsidR="008E082E" w:rsidRPr="008E082E" w:rsidRDefault="008E082E" w:rsidP="00532660">
            <w:pPr>
              <w:overflowPunct/>
              <w:autoSpaceDE/>
              <w:autoSpaceDN/>
              <w:adjustRightInd/>
              <w:spacing w:after="60"/>
              <w:ind w:left="-94"/>
              <w:textAlignment w:val="auto"/>
              <w:rPr>
                <w:color w:val="000000"/>
              </w:rPr>
            </w:pPr>
            <w:r w:rsidRPr="008E082E">
              <w:rPr>
                <w:color w:val="000000"/>
                <w:vertAlign w:val="superscript"/>
              </w:rPr>
              <w:t>***</w:t>
            </w:r>
          </w:p>
        </w:tc>
        <w:tc>
          <w:tcPr>
            <w:tcW w:w="0" w:type="auto"/>
            <w:tcBorders>
              <w:top w:val="nil"/>
              <w:left w:val="nil"/>
              <w:bottom w:val="single" w:sz="12" w:space="0" w:color="auto"/>
              <w:right w:val="nil"/>
            </w:tcBorders>
            <w:shd w:val="clear" w:color="auto" w:fill="auto"/>
            <w:noWrap/>
            <w:vAlign w:val="bottom"/>
            <w:hideMark/>
          </w:tcPr>
          <w:p w:rsidR="008E082E" w:rsidRPr="008E082E" w:rsidRDefault="00532660" w:rsidP="000D4BF4">
            <w:pPr>
              <w:overflowPunct/>
              <w:autoSpaceDE/>
              <w:autoSpaceDN/>
              <w:adjustRightInd/>
              <w:spacing w:after="60"/>
              <w:textAlignment w:val="auto"/>
              <w:rPr>
                <w:color w:val="000000"/>
              </w:rPr>
            </w:pPr>
            <w:r>
              <w:rPr>
                <w:color w:val="000000"/>
              </w:rPr>
              <w:t>(</w:t>
            </w:r>
            <w:r w:rsidR="008E082E" w:rsidRPr="008E082E">
              <w:rPr>
                <w:color w:val="000000"/>
              </w:rPr>
              <w:t>9.5</w:t>
            </w:r>
            <w:r>
              <w:rPr>
                <w:color w:val="000000"/>
              </w:rPr>
              <w:t>)</w:t>
            </w:r>
          </w:p>
        </w:tc>
        <w:tc>
          <w:tcPr>
            <w:tcW w:w="0" w:type="auto"/>
            <w:tcBorders>
              <w:top w:val="nil"/>
              <w:left w:val="nil"/>
              <w:bottom w:val="single" w:sz="12" w:space="0" w:color="auto"/>
              <w:right w:val="nil"/>
            </w:tcBorders>
            <w:shd w:val="clear" w:color="auto" w:fill="auto"/>
            <w:noWrap/>
            <w:vAlign w:val="bottom"/>
            <w:hideMark/>
          </w:tcPr>
          <w:p w:rsidR="008E082E" w:rsidRPr="008E082E" w:rsidRDefault="00ED183A" w:rsidP="00532660">
            <w:pPr>
              <w:overflowPunct/>
              <w:autoSpaceDE/>
              <w:autoSpaceDN/>
              <w:adjustRightInd/>
              <w:spacing w:after="60"/>
              <w:ind w:right="-60"/>
              <w:jc w:val="right"/>
              <w:textAlignment w:val="auto"/>
              <w:rPr>
                <w:color w:val="000000"/>
              </w:rPr>
            </w:pPr>
            <w:r>
              <w:rPr>
                <w:color w:val="000000"/>
              </w:rPr>
              <w:t>-</w:t>
            </w:r>
            <w:r w:rsidR="008E082E" w:rsidRPr="008E082E">
              <w:rPr>
                <w:color w:val="000000"/>
              </w:rPr>
              <w:t>0.192</w:t>
            </w:r>
          </w:p>
        </w:tc>
        <w:tc>
          <w:tcPr>
            <w:tcW w:w="0" w:type="auto"/>
            <w:tcBorders>
              <w:top w:val="nil"/>
              <w:left w:val="nil"/>
              <w:bottom w:val="single" w:sz="12" w:space="0" w:color="auto"/>
              <w:right w:val="nil"/>
            </w:tcBorders>
            <w:shd w:val="clear" w:color="auto" w:fill="auto"/>
            <w:noWrap/>
            <w:vAlign w:val="bottom"/>
            <w:hideMark/>
          </w:tcPr>
          <w:p w:rsidR="008E082E" w:rsidRPr="008E082E" w:rsidRDefault="008E082E" w:rsidP="00532660">
            <w:pPr>
              <w:overflowPunct/>
              <w:autoSpaceDE/>
              <w:autoSpaceDN/>
              <w:adjustRightInd/>
              <w:spacing w:after="60"/>
              <w:ind w:left="-94"/>
              <w:textAlignment w:val="auto"/>
              <w:rPr>
                <w:color w:val="000000"/>
              </w:rPr>
            </w:pPr>
            <w:r w:rsidRPr="008E082E">
              <w:rPr>
                <w:color w:val="000000"/>
                <w:vertAlign w:val="superscript"/>
              </w:rPr>
              <w:t>**</w:t>
            </w:r>
          </w:p>
        </w:tc>
        <w:tc>
          <w:tcPr>
            <w:tcW w:w="0" w:type="auto"/>
            <w:tcBorders>
              <w:top w:val="nil"/>
              <w:left w:val="nil"/>
              <w:bottom w:val="single" w:sz="12" w:space="0" w:color="auto"/>
              <w:right w:val="nil"/>
            </w:tcBorders>
            <w:shd w:val="clear" w:color="auto" w:fill="auto"/>
            <w:noWrap/>
            <w:vAlign w:val="bottom"/>
            <w:hideMark/>
          </w:tcPr>
          <w:p w:rsidR="008E082E" w:rsidRPr="008E082E" w:rsidRDefault="00532660" w:rsidP="000D4BF4">
            <w:pPr>
              <w:overflowPunct/>
              <w:autoSpaceDE/>
              <w:autoSpaceDN/>
              <w:adjustRightInd/>
              <w:spacing w:after="60"/>
              <w:textAlignment w:val="auto"/>
              <w:rPr>
                <w:color w:val="000000"/>
              </w:rPr>
            </w:pPr>
            <w:r>
              <w:rPr>
                <w:color w:val="000000"/>
              </w:rPr>
              <w:t>(</w:t>
            </w:r>
            <w:r w:rsidR="00ED183A">
              <w:rPr>
                <w:color w:val="000000"/>
              </w:rPr>
              <w:t>-</w:t>
            </w:r>
            <w:r w:rsidR="008E082E" w:rsidRPr="008E082E">
              <w:rPr>
                <w:color w:val="000000"/>
              </w:rPr>
              <w:t>2.3</w:t>
            </w:r>
            <w:r>
              <w:rPr>
                <w:color w:val="000000"/>
              </w:rPr>
              <w:t>)</w:t>
            </w:r>
          </w:p>
        </w:tc>
      </w:tr>
      <w:tr w:rsidR="008E082E" w:rsidRPr="008E082E" w:rsidTr="00C902DA">
        <w:trPr>
          <w:trHeight w:val="20"/>
        </w:trPr>
        <w:tc>
          <w:tcPr>
            <w:tcW w:w="0" w:type="auto"/>
            <w:gridSpan w:val="10"/>
            <w:tcBorders>
              <w:top w:val="single" w:sz="12" w:space="0" w:color="auto"/>
              <w:left w:val="nil"/>
              <w:bottom w:val="nil"/>
              <w:right w:val="nil"/>
            </w:tcBorders>
            <w:shd w:val="clear" w:color="auto" w:fill="auto"/>
            <w:noWrap/>
            <w:vAlign w:val="bottom"/>
            <w:hideMark/>
          </w:tcPr>
          <w:p w:rsidR="008E082E" w:rsidRPr="008E082E" w:rsidRDefault="008E082E" w:rsidP="00A17102">
            <w:pPr>
              <w:overflowPunct/>
              <w:autoSpaceDE/>
              <w:autoSpaceDN/>
              <w:adjustRightInd/>
              <w:spacing w:before="80"/>
              <w:textAlignment w:val="auto"/>
              <w:rPr>
                <w:b/>
                <w:bCs/>
                <w:color w:val="000000"/>
              </w:rPr>
            </w:pPr>
            <w:r w:rsidRPr="008E082E">
              <w:rPr>
                <w:b/>
                <w:bCs/>
                <w:color w:val="000000"/>
              </w:rPr>
              <w:t xml:space="preserve">Panel B.  </w:t>
            </w:r>
            <w:r w:rsidR="001F61F1">
              <w:rPr>
                <w:color w:val="000000"/>
              </w:rPr>
              <w:t>Three endogenous</w:t>
            </w:r>
            <w:r w:rsidR="00A17102">
              <w:rPr>
                <w:color w:val="000000"/>
              </w:rPr>
              <w:t xml:space="preserve"> +</w:t>
            </w:r>
            <w:r w:rsidR="001F61F1">
              <w:rPr>
                <w:color w:val="000000"/>
              </w:rPr>
              <w:t xml:space="preserve"> </w:t>
            </w:r>
            <w:r w:rsidRPr="008E082E">
              <w:rPr>
                <w:color w:val="000000"/>
              </w:rPr>
              <w:t>exogenous</w:t>
            </w:r>
            <w:r w:rsidR="00A17102">
              <w:rPr>
                <w:color w:val="000000"/>
              </w:rPr>
              <w:t xml:space="preserve"> controls</w:t>
            </w:r>
          </w:p>
        </w:tc>
      </w:tr>
      <w:tr w:rsidR="00F85A66" w:rsidRPr="008E082E" w:rsidTr="008E082E">
        <w:trPr>
          <w:trHeight w:val="20"/>
        </w:trPr>
        <w:tc>
          <w:tcPr>
            <w:tcW w:w="0" w:type="auto"/>
            <w:tcBorders>
              <w:top w:val="nil"/>
              <w:left w:val="nil"/>
              <w:bottom w:val="nil"/>
              <w:right w:val="nil"/>
            </w:tcBorders>
            <w:shd w:val="clear" w:color="auto" w:fill="auto"/>
            <w:noWrap/>
            <w:vAlign w:val="bottom"/>
            <w:hideMark/>
          </w:tcPr>
          <w:p w:rsidR="00F85A66" w:rsidRPr="00F85A66" w:rsidRDefault="00F85A66" w:rsidP="00F044F4">
            <w:pPr>
              <w:overflowPunct/>
              <w:autoSpaceDE/>
              <w:autoSpaceDN/>
              <w:adjustRightInd/>
              <w:jc w:val="right"/>
              <w:textAlignment w:val="auto"/>
              <w:rPr>
                <w:i/>
                <w:color w:val="000000"/>
              </w:rPr>
            </w:pPr>
            <w:r w:rsidRPr="00F85A66">
              <w:rPr>
                <w:i/>
                <w:color w:val="000000"/>
              </w:rPr>
              <w:t>Dependent:</w:t>
            </w:r>
          </w:p>
        </w:tc>
        <w:tc>
          <w:tcPr>
            <w:tcW w:w="0" w:type="auto"/>
            <w:gridSpan w:val="3"/>
            <w:tcBorders>
              <w:top w:val="nil"/>
              <w:left w:val="nil"/>
              <w:bottom w:val="nil"/>
              <w:right w:val="nil"/>
            </w:tcBorders>
            <w:shd w:val="clear" w:color="auto" w:fill="auto"/>
            <w:noWrap/>
            <w:vAlign w:val="bottom"/>
            <w:hideMark/>
          </w:tcPr>
          <w:p w:rsidR="00F85A66" w:rsidRPr="00F85A66" w:rsidRDefault="00F85A66" w:rsidP="008E082E">
            <w:pPr>
              <w:overflowPunct/>
              <w:autoSpaceDE/>
              <w:autoSpaceDN/>
              <w:adjustRightInd/>
              <w:jc w:val="center"/>
              <w:textAlignment w:val="auto"/>
              <w:rPr>
                <w:i/>
                <w:iCs/>
                <w:color w:val="000000"/>
                <w:vertAlign w:val="subscript"/>
              </w:rPr>
            </w:pPr>
            <w:r w:rsidRPr="008E082E">
              <w:rPr>
                <w:i/>
                <w:iCs/>
                <w:color w:val="000000"/>
              </w:rPr>
              <w:t>Income Returns</w:t>
            </w:r>
            <w:r>
              <w:rPr>
                <w:i/>
                <w:iCs/>
                <w:color w:val="000000"/>
                <w:vertAlign w:val="subscript"/>
              </w:rPr>
              <w:t>t</w:t>
            </w:r>
          </w:p>
        </w:tc>
        <w:tc>
          <w:tcPr>
            <w:tcW w:w="0" w:type="auto"/>
            <w:gridSpan w:val="3"/>
            <w:tcBorders>
              <w:top w:val="nil"/>
              <w:left w:val="nil"/>
              <w:bottom w:val="nil"/>
              <w:right w:val="nil"/>
            </w:tcBorders>
            <w:shd w:val="clear" w:color="auto" w:fill="auto"/>
            <w:noWrap/>
            <w:vAlign w:val="bottom"/>
            <w:hideMark/>
          </w:tcPr>
          <w:p w:rsidR="00F85A66" w:rsidRPr="00F85A66" w:rsidRDefault="00F85A66" w:rsidP="008E082E">
            <w:pPr>
              <w:overflowPunct/>
              <w:autoSpaceDE/>
              <w:autoSpaceDN/>
              <w:adjustRightInd/>
              <w:jc w:val="center"/>
              <w:textAlignment w:val="auto"/>
              <w:rPr>
                <w:i/>
                <w:iCs/>
                <w:color w:val="000000"/>
                <w:vertAlign w:val="subscript"/>
              </w:rPr>
            </w:pPr>
            <w:r w:rsidRPr="008E082E">
              <w:rPr>
                <w:i/>
                <w:iCs/>
                <w:color w:val="000000"/>
              </w:rPr>
              <w:t>CRE Lending Index</w:t>
            </w:r>
            <w:r>
              <w:rPr>
                <w:i/>
                <w:iCs/>
                <w:color w:val="000000"/>
                <w:vertAlign w:val="subscript"/>
              </w:rPr>
              <w:t>t</w:t>
            </w:r>
          </w:p>
        </w:tc>
        <w:tc>
          <w:tcPr>
            <w:tcW w:w="0" w:type="auto"/>
            <w:gridSpan w:val="3"/>
            <w:tcBorders>
              <w:top w:val="nil"/>
              <w:left w:val="nil"/>
              <w:bottom w:val="nil"/>
              <w:right w:val="nil"/>
            </w:tcBorders>
            <w:shd w:val="clear" w:color="auto" w:fill="auto"/>
            <w:noWrap/>
            <w:vAlign w:val="bottom"/>
            <w:hideMark/>
          </w:tcPr>
          <w:p w:rsidR="00F85A66" w:rsidRPr="00F85A66" w:rsidRDefault="00F85A66" w:rsidP="008E082E">
            <w:pPr>
              <w:overflowPunct/>
              <w:autoSpaceDE/>
              <w:autoSpaceDN/>
              <w:adjustRightInd/>
              <w:jc w:val="center"/>
              <w:textAlignment w:val="auto"/>
              <w:rPr>
                <w:i/>
                <w:iCs/>
                <w:color w:val="000000"/>
                <w:vertAlign w:val="subscript"/>
              </w:rPr>
            </w:pPr>
            <w:r w:rsidRPr="008E082E">
              <w:rPr>
                <w:i/>
                <w:iCs/>
                <w:color w:val="000000"/>
              </w:rPr>
              <w:t>Capital Gains</w:t>
            </w:r>
            <w:r>
              <w:rPr>
                <w:i/>
                <w:iCs/>
                <w:color w:val="000000"/>
                <w:vertAlign w:val="subscript"/>
              </w:rPr>
              <w:t>t</w:t>
            </w:r>
          </w:p>
        </w:tc>
      </w:tr>
      <w:tr w:rsidR="00F85A66" w:rsidRPr="008E082E" w:rsidTr="008E082E">
        <w:trPr>
          <w:trHeight w:val="20"/>
        </w:trPr>
        <w:tc>
          <w:tcPr>
            <w:tcW w:w="0" w:type="auto"/>
            <w:tcBorders>
              <w:top w:val="nil"/>
              <w:left w:val="nil"/>
              <w:bottom w:val="double" w:sz="6" w:space="0" w:color="auto"/>
              <w:right w:val="nil"/>
            </w:tcBorders>
            <w:shd w:val="clear" w:color="auto" w:fill="auto"/>
            <w:noWrap/>
            <w:vAlign w:val="bottom"/>
            <w:hideMark/>
          </w:tcPr>
          <w:p w:rsidR="00F85A66" w:rsidRPr="008E082E" w:rsidRDefault="00F85A66" w:rsidP="008E082E">
            <w:pPr>
              <w:overflowPunct/>
              <w:autoSpaceDE/>
              <w:autoSpaceDN/>
              <w:adjustRightInd/>
              <w:textAlignment w:val="auto"/>
              <w:rPr>
                <w:color w:val="000000"/>
              </w:rPr>
            </w:pPr>
            <w:r w:rsidRPr="008E082E">
              <w:rPr>
                <w:color w:val="000000"/>
              </w:rPr>
              <w:t>Variable</w:t>
            </w:r>
          </w:p>
        </w:tc>
        <w:tc>
          <w:tcPr>
            <w:tcW w:w="0" w:type="auto"/>
            <w:gridSpan w:val="2"/>
            <w:tcBorders>
              <w:top w:val="nil"/>
              <w:left w:val="nil"/>
              <w:bottom w:val="double" w:sz="6" w:space="0" w:color="auto"/>
              <w:right w:val="nil"/>
            </w:tcBorders>
            <w:shd w:val="clear" w:color="auto" w:fill="auto"/>
            <w:noWrap/>
            <w:vAlign w:val="bottom"/>
            <w:hideMark/>
          </w:tcPr>
          <w:p w:rsidR="00F85A66" w:rsidRPr="008E082E" w:rsidRDefault="00F85A66" w:rsidP="008E082E">
            <w:pPr>
              <w:overflowPunct/>
              <w:autoSpaceDE/>
              <w:autoSpaceDN/>
              <w:adjustRightInd/>
              <w:jc w:val="center"/>
              <w:textAlignment w:val="auto"/>
              <w:rPr>
                <w:color w:val="000000"/>
              </w:rPr>
            </w:pPr>
            <w:r w:rsidRPr="008E082E">
              <w:rPr>
                <w:color w:val="000000"/>
              </w:rPr>
              <w:t>Coef</w:t>
            </w:r>
          </w:p>
        </w:tc>
        <w:tc>
          <w:tcPr>
            <w:tcW w:w="0" w:type="auto"/>
            <w:tcBorders>
              <w:top w:val="nil"/>
              <w:left w:val="nil"/>
              <w:bottom w:val="double" w:sz="6" w:space="0" w:color="auto"/>
              <w:right w:val="nil"/>
            </w:tcBorders>
            <w:shd w:val="clear" w:color="auto" w:fill="auto"/>
            <w:noWrap/>
            <w:vAlign w:val="bottom"/>
            <w:hideMark/>
          </w:tcPr>
          <w:p w:rsidR="00F85A66" w:rsidRPr="008E082E" w:rsidRDefault="00F85A66" w:rsidP="000D4BF4">
            <w:pPr>
              <w:overflowPunct/>
              <w:autoSpaceDE/>
              <w:autoSpaceDN/>
              <w:adjustRightInd/>
              <w:textAlignment w:val="auto"/>
              <w:rPr>
                <w:color w:val="000000"/>
              </w:rPr>
            </w:pPr>
            <w:r>
              <w:rPr>
                <w:color w:val="000000"/>
              </w:rPr>
              <w:t>(</w:t>
            </w:r>
            <w:r w:rsidRPr="008E082E">
              <w:rPr>
                <w:color w:val="000000"/>
              </w:rPr>
              <w:t>t-stat</w:t>
            </w:r>
            <w:r>
              <w:rPr>
                <w:color w:val="000000"/>
              </w:rPr>
              <w:t>)</w:t>
            </w:r>
          </w:p>
        </w:tc>
        <w:tc>
          <w:tcPr>
            <w:tcW w:w="0" w:type="auto"/>
            <w:gridSpan w:val="2"/>
            <w:tcBorders>
              <w:top w:val="nil"/>
              <w:left w:val="nil"/>
              <w:bottom w:val="double" w:sz="6" w:space="0" w:color="auto"/>
              <w:right w:val="nil"/>
            </w:tcBorders>
            <w:shd w:val="clear" w:color="auto" w:fill="auto"/>
            <w:noWrap/>
            <w:vAlign w:val="bottom"/>
            <w:hideMark/>
          </w:tcPr>
          <w:p w:rsidR="00F85A66" w:rsidRPr="008E082E" w:rsidRDefault="00F85A66" w:rsidP="008E082E">
            <w:pPr>
              <w:overflowPunct/>
              <w:autoSpaceDE/>
              <w:autoSpaceDN/>
              <w:adjustRightInd/>
              <w:jc w:val="center"/>
              <w:textAlignment w:val="auto"/>
              <w:rPr>
                <w:color w:val="000000"/>
              </w:rPr>
            </w:pPr>
            <w:r w:rsidRPr="008E082E">
              <w:rPr>
                <w:color w:val="000000"/>
              </w:rPr>
              <w:t>Coef</w:t>
            </w:r>
          </w:p>
        </w:tc>
        <w:tc>
          <w:tcPr>
            <w:tcW w:w="0" w:type="auto"/>
            <w:tcBorders>
              <w:top w:val="nil"/>
              <w:left w:val="nil"/>
              <w:bottom w:val="double" w:sz="6" w:space="0" w:color="auto"/>
              <w:right w:val="nil"/>
            </w:tcBorders>
            <w:shd w:val="clear" w:color="auto" w:fill="auto"/>
            <w:noWrap/>
            <w:vAlign w:val="bottom"/>
            <w:hideMark/>
          </w:tcPr>
          <w:p w:rsidR="00F85A66" w:rsidRPr="008E082E" w:rsidRDefault="00F85A66" w:rsidP="000D4BF4">
            <w:pPr>
              <w:overflowPunct/>
              <w:autoSpaceDE/>
              <w:autoSpaceDN/>
              <w:adjustRightInd/>
              <w:textAlignment w:val="auto"/>
              <w:rPr>
                <w:color w:val="000000"/>
              </w:rPr>
            </w:pPr>
            <w:r>
              <w:rPr>
                <w:color w:val="000000"/>
              </w:rPr>
              <w:t>(</w:t>
            </w:r>
            <w:r w:rsidRPr="008E082E">
              <w:rPr>
                <w:color w:val="000000"/>
              </w:rPr>
              <w:t>t-stat</w:t>
            </w:r>
            <w:r>
              <w:rPr>
                <w:color w:val="000000"/>
              </w:rPr>
              <w:t>)</w:t>
            </w:r>
          </w:p>
        </w:tc>
        <w:tc>
          <w:tcPr>
            <w:tcW w:w="0" w:type="auto"/>
            <w:gridSpan w:val="2"/>
            <w:tcBorders>
              <w:top w:val="nil"/>
              <w:left w:val="nil"/>
              <w:bottom w:val="double" w:sz="6" w:space="0" w:color="auto"/>
              <w:right w:val="nil"/>
            </w:tcBorders>
            <w:shd w:val="clear" w:color="auto" w:fill="auto"/>
            <w:noWrap/>
            <w:vAlign w:val="bottom"/>
            <w:hideMark/>
          </w:tcPr>
          <w:p w:rsidR="00F85A66" w:rsidRPr="008E082E" w:rsidRDefault="00F85A66" w:rsidP="008E082E">
            <w:pPr>
              <w:overflowPunct/>
              <w:autoSpaceDE/>
              <w:autoSpaceDN/>
              <w:adjustRightInd/>
              <w:jc w:val="center"/>
              <w:textAlignment w:val="auto"/>
              <w:rPr>
                <w:color w:val="000000"/>
              </w:rPr>
            </w:pPr>
            <w:r w:rsidRPr="008E082E">
              <w:rPr>
                <w:color w:val="000000"/>
              </w:rPr>
              <w:t>Coef</w:t>
            </w:r>
          </w:p>
        </w:tc>
        <w:tc>
          <w:tcPr>
            <w:tcW w:w="0" w:type="auto"/>
            <w:tcBorders>
              <w:top w:val="nil"/>
              <w:left w:val="nil"/>
              <w:bottom w:val="double" w:sz="6" w:space="0" w:color="auto"/>
              <w:right w:val="nil"/>
            </w:tcBorders>
            <w:shd w:val="clear" w:color="auto" w:fill="auto"/>
            <w:noWrap/>
            <w:vAlign w:val="bottom"/>
            <w:hideMark/>
          </w:tcPr>
          <w:p w:rsidR="00F85A66" w:rsidRPr="008E082E" w:rsidRDefault="00F85A66" w:rsidP="000D4BF4">
            <w:pPr>
              <w:overflowPunct/>
              <w:autoSpaceDE/>
              <w:autoSpaceDN/>
              <w:adjustRightInd/>
              <w:textAlignment w:val="auto"/>
              <w:rPr>
                <w:color w:val="000000"/>
              </w:rPr>
            </w:pPr>
            <w:r>
              <w:rPr>
                <w:color w:val="000000"/>
              </w:rPr>
              <w:t>(</w:t>
            </w:r>
            <w:r w:rsidRPr="008E082E">
              <w:rPr>
                <w:color w:val="000000"/>
              </w:rPr>
              <w:t>t-stat</w:t>
            </w:r>
            <w:r>
              <w:rPr>
                <w:color w:val="000000"/>
              </w:rPr>
              <w:t>)</w:t>
            </w:r>
          </w:p>
        </w:tc>
      </w:tr>
      <w:tr w:rsidR="00F85A66" w:rsidRPr="008E082E" w:rsidTr="008E082E">
        <w:trPr>
          <w:trHeight w:val="20"/>
        </w:trPr>
        <w:tc>
          <w:tcPr>
            <w:tcW w:w="0" w:type="auto"/>
            <w:tcBorders>
              <w:top w:val="nil"/>
              <w:left w:val="nil"/>
              <w:bottom w:val="nil"/>
              <w:right w:val="nil"/>
            </w:tcBorders>
            <w:shd w:val="clear" w:color="auto" w:fill="auto"/>
            <w:noWrap/>
            <w:vAlign w:val="bottom"/>
            <w:hideMark/>
          </w:tcPr>
          <w:p w:rsidR="00F85A66" w:rsidRPr="00F85A66" w:rsidRDefault="00F85A66" w:rsidP="00C902DA">
            <w:pPr>
              <w:overflowPunct/>
              <w:autoSpaceDE/>
              <w:autoSpaceDN/>
              <w:adjustRightInd/>
              <w:spacing w:before="60"/>
              <w:textAlignment w:val="auto"/>
              <w:rPr>
                <w:color w:val="000000"/>
                <w:vertAlign w:val="subscript"/>
              </w:rPr>
            </w:pPr>
            <w:r w:rsidRPr="008E082E">
              <w:rPr>
                <w:color w:val="000000"/>
              </w:rPr>
              <w:t>Income Returns</w:t>
            </w:r>
            <w:r>
              <w:rPr>
                <w:color w:val="000000"/>
                <w:vertAlign w:val="subscript"/>
              </w:rPr>
              <w:t>t-1</w:t>
            </w:r>
          </w:p>
        </w:tc>
        <w:tc>
          <w:tcPr>
            <w:tcW w:w="0" w:type="auto"/>
            <w:tcBorders>
              <w:top w:val="nil"/>
              <w:left w:val="nil"/>
              <w:bottom w:val="nil"/>
              <w:right w:val="nil"/>
            </w:tcBorders>
            <w:shd w:val="clear" w:color="auto" w:fill="auto"/>
            <w:noWrap/>
            <w:vAlign w:val="bottom"/>
            <w:hideMark/>
          </w:tcPr>
          <w:p w:rsidR="00F85A66" w:rsidRPr="008E082E" w:rsidRDefault="00F85A66" w:rsidP="00532660">
            <w:pPr>
              <w:overflowPunct/>
              <w:autoSpaceDE/>
              <w:autoSpaceDN/>
              <w:adjustRightInd/>
              <w:spacing w:before="60"/>
              <w:ind w:right="-83"/>
              <w:jc w:val="right"/>
              <w:textAlignment w:val="auto"/>
              <w:rPr>
                <w:color w:val="000000"/>
              </w:rPr>
            </w:pPr>
            <w:r w:rsidRPr="008E082E">
              <w:rPr>
                <w:color w:val="000000"/>
              </w:rPr>
              <w:t>0.969</w:t>
            </w:r>
          </w:p>
        </w:tc>
        <w:tc>
          <w:tcPr>
            <w:tcW w:w="0" w:type="auto"/>
            <w:tcBorders>
              <w:top w:val="nil"/>
              <w:left w:val="nil"/>
              <w:bottom w:val="nil"/>
              <w:right w:val="nil"/>
            </w:tcBorders>
            <w:shd w:val="clear" w:color="auto" w:fill="auto"/>
            <w:noWrap/>
            <w:vAlign w:val="bottom"/>
            <w:hideMark/>
          </w:tcPr>
          <w:p w:rsidR="00F85A66" w:rsidRPr="008E082E" w:rsidRDefault="00F85A66" w:rsidP="00532660">
            <w:pPr>
              <w:overflowPunct/>
              <w:autoSpaceDE/>
              <w:autoSpaceDN/>
              <w:adjustRightInd/>
              <w:spacing w:before="60"/>
              <w:ind w:left="-43"/>
              <w:textAlignment w:val="auto"/>
              <w:rPr>
                <w:color w:val="000000"/>
              </w:rPr>
            </w:pPr>
            <w:r w:rsidRPr="008E082E">
              <w:rPr>
                <w:color w:val="000000"/>
                <w:vertAlign w:val="superscript"/>
              </w:rPr>
              <w:t>***</w:t>
            </w:r>
          </w:p>
        </w:tc>
        <w:tc>
          <w:tcPr>
            <w:tcW w:w="0" w:type="auto"/>
            <w:tcBorders>
              <w:top w:val="nil"/>
              <w:left w:val="nil"/>
              <w:bottom w:val="nil"/>
              <w:right w:val="nil"/>
            </w:tcBorders>
            <w:shd w:val="clear" w:color="auto" w:fill="auto"/>
            <w:noWrap/>
            <w:vAlign w:val="bottom"/>
            <w:hideMark/>
          </w:tcPr>
          <w:p w:rsidR="00F85A66" w:rsidRPr="008E082E" w:rsidRDefault="00F85A66" w:rsidP="000D4BF4">
            <w:pPr>
              <w:overflowPunct/>
              <w:autoSpaceDE/>
              <w:autoSpaceDN/>
              <w:adjustRightInd/>
              <w:spacing w:before="60"/>
              <w:textAlignment w:val="auto"/>
              <w:rPr>
                <w:color w:val="000000"/>
              </w:rPr>
            </w:pPr>
            <w:r>
              <w:rPr>
                <w:color w:val="000000"/>
              </w:rPr>
              <w:t>(</w:t>
            </w:r>
            <w:r w:rsidRPr="008E082E">
              <w:rPr>
                <w:color w:val="000000"/>
              </w:rPr>
              <w:t>44.5</w:t>
            </w:r>
            <w:r>
              <w:rPr>
                <w:color w:val="000000"/>
              </w:rPr>
              <w:t>)</w:t>
            </w:r>
          </w:p>
        </w:tc>
        <w:tc>
          <w:tcPr>
            <w:tcW w:w="0" w:type="auto"/>
            <w:tcBorders>
              <w:top w:val="nil"/>
              <w:left w:val="nil"/>
              <w:bottom w:val="nil"/>
              <w:right w:val="nil"/>
            </w:tcBorders>
            <w:shd w:val="clear" w:color="auto" w:fill="auto"/>
            <w:noWrap/>
            <w:vAlign w:val="bottom"/>
            <w:hideMark/>
          </w:tcPr>
          <w:p w:rsidR="00F85A66" w:rsidRPr="008E082E" w:rsidRDefault="00F85A66" w:rsidP="00532660">
            <w:pPr>
              <w:overflowPunct/>
              <w:autoSpaceDE/>
              <w:autoSpaceDN/>
              <w:adjustRightInd/>
              <w:spacing w:before="60"/>
              <w:ind w:right="-115"/>
              <w:jc w:val="right"/>
              <w:textAlignment w:val="auto"/>
              <w:rPr>
                <w:color w:val="000000"/>
              </w:rPr>
            </w:pPr>
            <w:r>
              <w:rPr>
                <w:color w:val="000000"/>
              </w:rPr>
              <w:t>-</w:t>
            </w:r>
            <w:r w:rsidRPr="008E082E">
              <w:rPr>
                <w:color w:val="000000"/>
              </w:rPr>
              <w:t>0.154</w:t>
            </w:r>
          </w:p>
        </w:tc>
        <w:tc>
          <w:tcPr>
            <w:tcW w:w="0" w:type="auto"/>
            <w:tcBorders>
              <w:top w:val="nil"/>
              <w:left w:val="nil"/>
              <w:bottom w:val="nil"/>
              <w:right w:val="nil"/>
            </w:tcBorders>
            <w:shd w:val="clear" w:color="auto" w:fill="auto"/>
            <w:noWrap/>
            <w:vAlign w:val="bottom"/>
            <w:hideMark/>
          </w:tcPr>
          <w:p w:rsidR="00F85A66" w:rsidRPr="008E082E" w:rsidRDefault="00F85A66" w:rsidP="00532660">
            <w:pPr>
              <w:overflowPunct/>
              <w:autoSpaceDE/>
              <w:autoSpaceDN/>
              <w:adjustRightInd/>
              <w:spacing w:before="60"/>
              <w:ind w:left="-94"/>
              <w:textAlignment w:val="auto"/>
              <w:rPr>
                <w:color w:val="000000"/>
              </w:rPr>
            </w:pPr>
            <w:r w:rsidRPr="008E082E">
              <w:rPr>
                <w:color w:val="000000"/>
                <w:vertAlign w:val="superscript"/>
              </w:rPr>
              <w:t>*</w:t>
            </w:r>
          </w:p>
        </w:tc>
        <w:tc>
          <w:tcPr>
            <w:tcW w:w="0" w:type="auto"/>
            <w:tcBorders>
              <w:top w:val="nil"/>
              <w:left w:val="nil"/>
              <w:bottom w:val="nil"/>
              <w:right w:val="nil"/>
            </w:tcBorders>
            <w:shd w:val="clear" w:color="auto" w:fill="auto"/>
            <w:noWrap/>
            <w:vAlign w:val="bottom"/>
            <w:hideMark/>
          </w:tcPr>
          <w:p w:rsidR="00F85A66" w:rsidRPr="008E082E" w:rsidRDefault="00F85A66" w:rsidP="000D4BF4">
            <w:pPr>
              <w:overflowPunct/>
              <w:autoSpaceDE/>
              <w:autoSpaceDN/>
              <w:adjustRightInd/>
              <w:spacing w:before="60"/>
              <w:textAlignment w:val="auto"/>
              <w:rPr>
                <w:color w:val="000000"/>
              </w:rPr>
            </w:pPr>
            <w:r>
              <w:rPr>
                <w:color w:val="000000"/>
              </w:rPr>
              <w:t>(-</w:t>
            </w:r>
            <w:r w:rsidRPr="008E082E">
              <w:rPr>
                <w:color w:val="000000"/>
              </w:rPr>
              <w:t>2.0</w:t>
            </w:r>
            <w:r>
              <w:rPr>
                <w:color w:val="000000"/>
              </w:rPr>
              <w:t>)</w:t>
            </w:r>
          </w:p>
        </w:tc>
        <w:tc>
          <w:tcPr>
            <w:tcW w:w="0" w:type="auto"/>
            <w:tcBorders>
              <w:top w:val="nil"/>
              <w:left w:val="nil"/>
              <w:bottom w:val="nil"/>
              <w:right w:val="nil"/>
            </w:tcBorders>
            <w:shd w:val="clear" w:color="auto" w:fill="auto"/>
            <w:noWrap/>
            <w:vAlign w:val="bottom"/>
            <w:hideMark/>
          </w:tcPr>
          <w:p w:rsidR="00F85A66" w:rsidRPr="008E082E" w:rsidRDefault="00F85A66" w:rsidP="00532660">
            <w:pPr>
              <w:overflowPunct/>
              <w:autoSpaceDE/>
              <w:autoSpaceDN/>
              <w:adjustRightInd/>
              <w:spacing w:before="60"/>
              <w:ind w:right="-60"/>
              <w:jc w:val="right"/>
              <w:textAlignment w:val="auto"/>
              <w:rPr>
                <w:color w:val="000000"/>
              </w:rPr>
            </w:pPr>
            <w:r w:rsidRPr="008E082E">
              <w:rPr>
                <w:color w:val="000000"/>
              </w:rPr>
              <w:t>0.001</w:t>
            </w:r>
          </w:p>
        </w:tc>
        <w:tc>
          <w:tcPr>
            <w:tcW w:w="0" w:type="auto"/>
            <w:tcBorders>
              <w:top w:val="nil"/>
              <w:left w:val="nil"/>
              <w:bottom w:val="nil"/>
              <w:right w:val="nil"/>
            </w:tcBorders>
            <w:shd w:val="clear" w:color="auto" w:fill="auto"/>
            <w:noWrap/>
            <w:vAlign w:val="bottom"/>
            <w:hideMark/>
          </w:tcPr>
          <w:p w:rsidR="00F85A66" w:rsidRPr="008E082E" w:rsidRDefault="00F85A66" w:rsidP="00532660">
            <w:pPr>
              <w:overflowPunct/>
              <w:autoSpaceDE/>
              <w:autoSpaceDN/>
              <w:adjustRightInd/>
              <w:spacing w:before="60"/>
              <w:ind w:left="-94"/>
              <w:textAlignment w:val="auto"/>
              <w:rPr>
                <w:color w:val="000000"/>
              </w:rPr>
            </w:pPr>
          </w:p>
        </w:tc>
        <w:tc>
          <w:tcPr>
            <w:tcW w:w="0" w:type="auto"/>
            <w:tcBorders>
              <w:top w:val="nil"/>
              <w:left w:val="nil"/>
              <w:bottom w:val="nil"/>
              <w:right w:val="nil"/>
            </w:tcBorders>
            <w:shd w:val="clear" w:color="auto" w:fill="auto"/>
            <w:noWrap/>
            <w:vAlign w:val="bottom"/>
            <w:hideMark/>
          </w:tcPr>
          <w:p w:rsidR="00F85A66" w:rsidRPr="008E082E" w:rsidRDefault="00F85A66" w:rsidP="000D4BF4">
            <w:pPr>
              <w:overflowPunct/>
              <w:autoSpaceDE/>
              <w:autoSpaceDN/>
              <w:adjustRightInd/>
              <w:spacing w:before="60"/>
              <w:textAlignment w:val="auto"/>
              <w:rPr>
                <w:color w:val="000000"/>
              </w:rPr>
            </w:pPr>
            <w:r>
              <w:rPr>
                <w:color w:val="000000"/>
              </w:rPr>
              <w:t>(</w:t>
            </w:r>
            <w:r w:rsidRPr="008E082E">
              <w:rPr>
                <w:color w:val="000000"/>
              </w:rPr>
              <w:t>0.0</w:t>
            </w:r>
            <w:r>
              <w:rPr>
                <w:color w:val="000000"/>
              </w:rPr>
              <w:t>)</w:t>
            </w:r>
          </w:p>
        </w:tc>
      </w:tr>
      <w:tr w:rsidR="00F85A66" w:rsidRPr="008E082E" w:rsidTr="008E082E">
        <w:trPr>
          <w:trHeight w:val="20"/>
        </w:trPr>
        <w:tc>
          <w:tcPr>
            <w:tcW w:w="0" w:type="auto"/>
            <w:tcBorders>
              <w:top w:val="nil"/>
              <w:left w:val="nil"/>
              <w:bottom w:val="nil"/>
              <w:right w:val="nil"/>
            </w:tcBorders>
            <w:shd w:val="clear" w:color="auto" w:fill="auto"/>
            <w:noWrap/>
            <w:vAlign w:val="bottom"/>
            <w:hideMark/>
          </w:tcPr>
          <w:p w:rsidR="00F85A66" w:rsidRPr="00F85A66" w:rsidRDefault="00F85A66" w:rsidP="008E082E">
            <w:pPr>
              <w:overflowPunct/>
              <w:autoSpaceDE/>
              <w:autoSpaceDN/>
              <w:adjustRightInd/>
              <w:textAlignment w:val="auto"/>
              <w:rPr>
                <w:color w:val="000000"/>
                <w:vertAlign w:val="subscript"/>
              </w:rPr>
            </w:pPr>
            <w:r w:rsidRPr="008E082E">
              <w:rPr>
                <w:color w:val="000000"/>
              </w:rPr>
              <w:t>Capital Gains</w:t>
            </w:r>
            <w:r>
              <w:rPr>
                <w:color w:val="000000"/>
                <w:vertAlign w:val="subscript"/>
              </w:rPr>
              <w:t>t-1</w:t>
            </w:r>
          </w:p>
        </w:tc>
        <w:tc>
          <w:tcPr>
            <w:tcW w:w="0" w:type="auto"/>
            <w:tcBorders>
              <w:top w:val="nil"/>
              <w:left w:val="nil"/>
              <w:bottom w:val="nil"/>
              <w:right w:val="nil"/>
            </w:tcBorders>
            <w:shd w:val="clear" w:color="auto" w:fill="auto"/>
            <w:noWrap/>
            <w:vAlign w:val="bottom"/>
            <w:hideMark/>
          </w:tcPr>
          <w:p w:rsidR="00F85A66" w:rsidRPr="008E082E" w:rsidRDefault="00F85A66" w:rsidP="00532660">
            <w:pPr>
              <w:overflowPunct/>
              <w:autoSpaceDE/>
              <w:autoSpaceDN/>
              <w:adjustRightInd/>
              <w:ind w:right="-83"/>
              <w:jc w:val="right"/>
              <w:textAlignment w:val="auto"/>
              <w:rPr>
                <w:color w:val="000000"/>
              </w:rPr>
            </w:pPr>
            <w:r w:rsidRPr="008E082E">
              <w:rPr>
                <w:color w:val="000000"/>
              </w:rPr>
              <w:t>-0.141</w:t>
            </w:r>
          </w:p>
        </w:tc>
        <w:tc>
          <w:tcPr>
            <w:tcW w:w="0" w:type="auto"/>
            <w:tcBorders>
              <w:top w:val="nil"/>
              <w:left w:val="nil"/>
              <w:bottom w:val="nil"/>
              <w:right w:val="nil"/>
            </w:tcBorders>
            <w:shd w:val="clear" w:color="auto" w:fill="auto"/>
            <w:noWrap/>
            <w:vAlign w:val="bottom"/>
            <w:hideMark/>
          </w:tcPr>
          <w:p w:rsidR="00F85A66" w:rsidRPr="008E082E" w:rsidRDefault="00F85A66" w:rsidP="00532660">
            <w:pPr>
              <w:overflowPunct/>
              <w:autoSpaceDE/>
              <w:autoSpaceDN/>
              <w:adjustRightInd/>
              <w:ind w:left="-43"/>
              <w:textAlignment w:val="auto"/>
              <w:rPr>
                <w:color w:val="000000"/>
              </w:rPr>
            </w:pPr>
            <w:r w:rsidRPr="008E082E">
              <w:rPr>
                <w:color w:val="000000"/>
                <w:vertAlign w:val="superscript"/>
              </w:rPr>
              <w:t>***</w:t>
            </w:r>
          </w:p>
        </w:tc>
        <w:tc>
          <w:tcPr>
            <w:tcW w:w="0" w:type="auto"/>
            <w:tcBorders>
              <w:top w:val="nil"/>
              <w:left w:val="nil"/>
              <w:bottom w:val="nil"/>
              <w:right w:val="nil"/>
            </w:tcBorders>
            <w:shd w:val="clear" w:color="auto" w:fill="auto"/>
            <w:noWrap/>
            <w:vAlign w:val="bottom"/>
            <w:hideMark/>
          </w:tcPr>
          <w:p w:rsidR="00F85A66" w:rsidRPr="008E082E" w:rsidRDefault="00F85A66" w:rsidP="000D4BF4">
            <w:pPr>
              <w:overflowPunct/>
              <w:autoSpaceDE/>
              <w:autoSpaceDN/>
              <w:adjustRightInd/>
              <w:textAlignment w:val="auto"/>
              <w:rPr>
                <w:color w:val="000000"/>
              </w:rPr>
            </w:pPr>
            <w:r>
              <w:rPr>
                <w:color w:val="000000"/>
              </w:rPr>
              <w:t>(</w:t>
            </w:r>
            <w:r w:rsidRPr="008E082E">
              <w:rPr>
                <w:color w:val="000000"/>
              </w:rPr>
              <w:t>-5.5</w:t>
            </w:r>
            <w:r>
              <w:rPr>
                <w:color w:val="000000"/>
              </w:rPr>
              <w:t>)</w:t>
            </w:r>
          </w:p>
        </w:tc>
        <w:tc>
          <w:tcPr>
            <w:tcW w:w="0" w:type="auto"/>
            <w:tcBorders>
              <w:top w:val="nil"/>
              <w:left w:val="nil"/>
              <w:bottom w:val="nil"/>
              <w:right w:val="nil"/>
            </w:tcBorders>
            <w:shd w:val="clear" w:color="auto" w:fill="auto"/>
            <w:noWrap/>
            <w:vAlign w:val="bottom"/>
            <w:hideMark/>
          </w:tcPr>
          <w:p w:rsidR="00F85A66" w:rsidRPr="008E082E" w:rsidRDefault="00F85A66" w:rsidP="00532660">
            <w:pPr>
              <w:overflowPunct/>
              <w:autoSpaceDE/>
              <w:autoSpaceDN/>
              <w:adjustRightInd/>
              <w:ind w:right="-115"/>
              <w:jc w:val="right"/>
              <w:textAlignment w:val="auto"/>
              <w:rPr>
                <w:color w:val="000000"/>
              </w:rPr>
            </w:pPr>
            <w:r>
              <w:rPr>
                <w:color w:val="000000"/>
              </w:rPr>
              <w:t>-</w:t>
            </w:r>
            <w:r w:rsidRPr="008E082E">
              <w:rPr>
                <w:color w:val="000000"/>
              </w:rPr>
              <w:t>0.152</w:t>
            </w:r>
          </w:p>
        </w:tc>
        <w:tc>
          <w:tcPr>
            <w:tcW w:w="0" w:type="auto"/>
            <w:tcBorders>
              <w:top w:val="nil"/>
              <w:left w:val="nil"/>
              <w:bottom w:val="nil"/>
              <w:right w:val="nil"/>
            </w:tcBorders>
            <w:shd w:val="clear" w:color="auto" w:fill="auto"/>
            <w:noWrap/>
            <w:vAlign w:val="bottom"/>
            <w:hideMark/>
          </w:tcPr>
          <w:p w:rsidR="00F85A66" w:rsidRPr="008E082E" w:rsidRDefault="00F85A66" w:rsidP="00532660">
            <w:pPr>
              <w:overflowPunct/>
              <w:autoSpaceDE/>
              <w:autoSpaceDN/>
              <w:adjustRightInd/>
              <w:ind w:left="-94"/>
              <w:textAlignment w:val="auto"/>
              <w:rPr>
                <w:color w:val="000000"/>
              </w:rPr>
            </w:pPr>
          </w:p>
        </w:tc>
        <w:tc>
          <w:tcPr>
            <w:tcW w:w="0" w:type="auto"/>
            <w:tcBorders>
              <w:top w:val="nil"/>
              <w:left w:val="nil"/>
              <w:bottom w:val="nil"/>
              <w:right w:val="nil"/>
            </w:tcBorders>
            <w:shd w:val="clear" w:color="auto" w:fill="auto"/>
            <w:noWrap/>
            <w:vAlign w:val="bottom"/>
            <w:hideMark/>
          </w:tcPr>
          <w:p w:rsidR="00F85A66" w:rsidRPr="008E082E" w:rsidRDefault="00F85A66" w:rsidP="000D4BF4">
            <w:pPr>
              <w:overflowPunct/>
              <w:autoSpaceDE/>
              <w:autoSpaceDN/>
              <w:adjustRightInd/>
              <w:textAlignment w:val="auto"/>
              <w:rPr>
                <w:color w:val="000000"/>
              </w:rPr>
            </w:pPr>
            <w:r>
              <w:rPr>
                <w:color w:val="000000"/>
              </w:rPr>
              <w:t>(-</w:t>
            </w:r>
            <w:r w:rsidRPr="008E082E">
              <w:rPr>
                <w:color w:val="000000"/>
              </w:rPr>
              <w:t>1.7</w:t>
            </w:r>
            <w:r>
              <w:rPr>
                <w:color w:val="000000"/>
              </w:rPr>
              <w:t>)</w:t>
            </w:r>
          </w:p>
        </w:tc>
        <w:tc>
          <w:tcPr>
            <w:tcW w:w="0" w:type="auto"/>
            <w:tcBorders>
              <w:top w:val="nil"/>
              <w:left w:val="nil"/>
              <w:bottom w:val="nil"/>
              <w:right w:val="nil"/>
            </w:tcBorders>
            <w:shd w:val="clear" w:color="auto" w:fill="auto"/>
            <w:noWrap/>
            <w:vAlign w:val="bottom"/>
            <w:hideMark/>
          </w:tcPr>
          <w:p w:rsidR="00F85A66" w:rsidRPr="008E082E" w:rsidRDefault="00F85A66" w:rsidP="00532660">
            <w:pPr>
              <w:overflowPunct/>
              <w:autoSpaceDE/>
              <w:autoSpaceDN/>
              <w:adjustRightInd/>
              <w:ind w:right="-60"/>
              <w:jc w:val="right"/>
              <w:textAlignment w:val="auto"/>
              <w:rPr>
                <w:color w:val="000000"/>
              </w:rPr>
            </w:pPr>
            <w:r w:rsidRPr="008E082E">
              <w:rPr>
                <w:color w:val="000000"/>
              </w:rPr>
              <w:t>0.684</w:t>
            </w:r>
          </w:p>
        </w:tc>
        <w:tc>
          <w:tcPr>
            <w:tcW w:w="0" w:type="auto"/>
            <w:tcBorders>
              <w:top w:val="nil"/>
              <w:left w:val="nil"/>
              <w:bottom w:val="nil"/>
              <w:right w:val="nil"/>
            </w:tcBorders>
            <w:shd w:val="clear" w:color="auto" w:fill="auto"/>
            <w:noWrap/>
            <w:vAlign w:val="bottom"/>
            <w:hideMark/>
          </w:tcPr>
          <w:p w:rsidR="00F85A66" w:rsidRPr="008E082E" w:rsidRDefault="00F85A66" w:rsidP="00532660">
            <w:pPr>
              <w:overflowPunct/>
              <w:autoSpaceDE/>
              <w:autoSpaceDN/>
              <w:adjustRightInd/>
              <w:ind w:left="-94"/>
              <w:textAlignment w:val="auto"/>
              <w:rPr>
                <w:color w:val="000000"/>
              </w:rPr>
            </w:pPr>
            <w:r w:rsidRPr="008E082E">
              <w:rPr>
                <w:color w:val="000000"/>
                <w:vertAlign w:val="superscript"/>
              </w:rPr>
              <w:t>***</w:t>
            </w:r>
          </w:p>
        </w:tc>
        <w:tc>
          <w:tcPr>
            <w:tcW w:w="0" w:type="auto"/>
            <w:tcBorders>
              <w:top w:val="nil"/>
              <w:left w:val="nil"/>
              <w:bottom w:val="nil"/>
              <w:right w:val="nil"/>
            </w:tcBorders>
            <w:shd w:val="clear" w:color="auto" w:fill="auto"/>
            <w:noWrap/>
            <w:vAlign w:val="bottom"/>
            <w:hideMark/>
          </w:tcPr>
          <w:p w:rsidR="00F85A66" w:rsidRPr="008E082E" w:rsidRDefault="00F85A66" w:rsidP="000D4BF4">
            <w:pPr>
              <w:overflowPunct/>
              <w:autoSpaceDE/>
              <w:autoSpaceDN/>
              <w:adjustRightInd/>
              <w:textAlignment w:val="auto"/>
              <w:rPr>
                <w:color w:val="000000"/>
              </w:rPr>
            </w:pPr>
            <w:r>
              <w:rPr>
                <w:color w:val="000000"/>
              </w:rPr>
              <w:t>(</w:t>
            </w:r>
            <w:r w:rsidRPr="008E082E">
              <w:rPr>
                <w:color w:val="000000"/>
              </w:rPr>
              <w:t>6.8</w:t>
            </w:r>
            <w:r>
              <w:rPr>
                <w:color w:val="000000"/>
              </w:rPr>
              <w:t>)</w:t>
            </w:r>
          </w:p>
        </w:tc>
      </w:tr>
      <w:tr w:rsidR="00F85A66" w:rsidRPr="008E082E" w:rsidTr="008E082E">
        <w:trPr>
          <w:trHeight w:val="20"/>
        </w:trPr>
        <w:tc>
          <w:tcPr>
            <w:tcW w:w="0" w:type="auto"/>
            <w:tcBorders>
              <w:top w:val="nil"/>
              <w:left w:val="nil"/>
              <w:bottom w:val="nil"/>
              <w:right w:val="nil"/>
            </w:tcBorders>
            <w:shd w:val="clear" w:color="auto" w:fill="auto"/>
            <w:noWrap/>
            <w:vAlign w:val="bottom"/>
            <w:hideMark/>
          </w:tcPr>
          <w:p w:rsidR="00F85A66" w:rsidRPr="00F85A66" w:rsidRDefault="00F85A66" w:rsidP="008E082E">
            <w:pPr>
              <w:overflowPunct/>
              <w:autoSpaceDE/>
              <w:autoSpaceDN/>
              <w:adjustRightInd/>
              <w:textAlignment w:val="auto"/>
              <w:rPr>
                <w:color w:val="000000"/>
                <w:vertAlign w:val="subscript"/>
              </w:rPr>
            </w:pPr>
            <w:r w:rsidRPr="008E082E">
              <w:rPr>
                <w:color w:val="000000"/>
              </w:rPr>
              <w:t>CRE Lending Index</w:t>
            </w:r>
            <w:r>
              <w:rPr>
                <w:color w:val="000000"/>
                <w:vertAlign w:val="subscript"/>
              </w:rPr>
              <w:t>t-1</w:t>
            </w:r>
          </w:p>
        </w:tc>
        <w:tc>
          <w:tcPr>
            <w:tcW w:w="0" w:type="auto"/>
            <w:tcBorders>
              <w:top w:val="nil"/>
              <w:left w:val="nil"/>
              <w:bottom w:val="nil"/>
              <w:right w:val="nil"/>
            </w:tcBorders>
            <w:shd w:val="clear" w:color="auto" w:fill="auto"/>
            <w:noWrap/>
            <w:vAlign w:val="bottom"/>
            <w:hideMark/>
          </w:tcPr>
          <w:p w:rsidR="00F85A66" w:rsidRPr="008E082E" w:rsidRDefault="00F85A66" w:rsidP="00532660">
            <w:pPr>
              <w:overflowPunct/>
              <w:autoSpaceDE/>
              <w:autoSpaceDN/>
              <w:adjustRightInd/>
              <w:ind w:right="-83"/>
              <w:jc w:val="right"/>
              <w:textAlignment w:val="auto"/>
              <w:rPr>
                <w:color w:val="000000"/>
              </w:rPr>
            </w:pPr>
            <w:r w:rsidRPr="008E082E">
              <w:rPr>
                <w:color w:val="000000"/>
              </w:rPr>
              <w:t>0.008</w:t>
            </w:r>
          </w:p>
        </w:tc>
        <w:tc>
          <w:tcPr>
            <w:tcW w:w="0" w:type="auto"/>
            <w:tcBorders>
              <w:top w:val="nil"/>
              <w:left w:val="nil"/>
              <w:bottom w:val="nil"/>
              <w:right w:val="nil"/>
            </w:tcBorders>
            <w:shd w:val="clear" w:color="auto" w:fill="auto"/>
            <w:noWrap/>
            <w:vAlign w:val="bottom"/>
            <w:hideMark/>
          </w:tcPr>
          <w:p w:rsidR="00F85A66" w:rsidRPr="008E082E" w:rsidRDefault="00F85A66" w:rsidP="00532660">
            <w:pPr>
              <w:overflowPunct/>
              <w:autoSpaceDE/>
              <w:autoSpaceDN/>
              <w:adjustRightInd/>
              <w:ind w:left="-43"/>
              <w:textAlignment w:val="auto"/>
              <w:rPr>
                <w:color w:val="000000"/>
              </w:rPr>
            </w:pPr>
          </w:p>
        </w:tc>
        <w:tc>
          <w:tcPr>
            <w:tcW w:w="0" w:type="auto"/>
            <w:tcBorders>
              <w:top w:val="nil"/>
              <w:left w:val="nil"/>
              <w:bottom w:val="nil"/>
              <w:right w:val="nil"/>
            </w:tcBorders>
            <w:shd w:val="clear" w:color="auto" w:fill="auto"/>
            <w:noWrap/>
            <w:vAlign w:val="bottom"/>
            <w:hideMark/>
          </w:tcPr>
          <w:p w:rsidR="00F85A66" w:rsidRPr="008E082E" w:rsidRDefault="00F85A66" w:rsidP="000D4BF4">
            <w:pPr>
              <w:overflowPunct/>
              <w:autoSpaceDE/>
              <w:autoSpaceDN/>
              <w:adjustRightInd/>
              <w:textAlignment w:val="auto"/>
              <w:rPr>
                <w:color w:val="000000"/>
              </w:rPr>
            </w:pPr>
            <w:r>
              <w:rPr>
                <w:color w:val="000000"/>
              </w:rPr>
              <w:t>(</w:t>
            </w:r>
            <w:r w:rsidRPr="008E082E">
              <w:rPr>
                <w:color w:val="000000"/>
              </w:rPr>
              <w:t>0.3</w:t>
            </w:r>
            <w:r>
              <w:rPr>
                <w:color w:val="000000"/>
              </w:rPr>
              <w:t>)</w:t>
            </w:r>
          </w:p>
        </w:tc>
        <w:tc>
          <w:tcPr>
            <w:tcW w:w="0" w:type="auto"/>
            <w:tcBorders>
              <w:top w:val="nil"/>
              <w:left w:val="nil"/>
              <w:bottom w:val="nil"/>
              <w:right w:val="nil"/>
            </w:tcBorders>
            <w:shd w:val="clear" w:color="auto" w:fill="auto"/>
            <w:noWrap/>
            <w:vAlign w:val="bottom"/>
            <w:hideMark/>
          </w:tcPr>
          <w:p w:rsidR="00F85A66" w:rsidRPr="008E082E" w:rsidRDefault="00F85A66" w:rsidP="00532660">
            <w:pPr>
              <w:overflowPunct/>
              <w:autoSpaceDE/>
              <w:autoSpaceDN/>
              <w:adjustRightInd/>
              <w:ind w:right="-115"/>
              <w:jc w:val="right"/>
              <w:textAlignment w:val="auto"/>
              <w:rPr>
                <w:color w:val="000000"/>
              </w:rPr>
            </w:pPr>
            <w:r w:rsidRPr="008E082E">
              <w:rPr>
                <w:color w:val="000000"/>
              </w:rPr>
              <w:t>0.717</w:t>
            </w:r>
          </w:p>
        </w:tc>
        <w:tc>
          <w:tcPr>
            <w:tcW w:w="0" w:type="auto"/>
            <w:tcBorders>
              <w:top w:val="nil"/>
              <w:left w:val="nil"/>
              <w:bottom w:val="nil"/>
              <w:right w:val="nil"/>
            </w:tcBorders>
            <w:shd w:val="clear" w:color="auto" w:fill="auto"/>
            <w:noWrap/>
            <w:vAlign w:val="bottom"/>
            <w:hideMark/>
          </w:tcPr>
          <w:p w:rsidR="00F85A66" w:rsidRPr="008E082E" w:rsidRDefault="00F85A66" w:rsidP="00532660">
            <w:pPr>
              <w:overflowPunct/>
              <w:autoSpaceDE/>
              <w:autoSpaceDN/>
              <w:adjustRightInd/>
              <w:ind w:left="-94"/>
              <w:textAlignment w:val="auto"/>
              <w:rPr>
                <w:color w:val="000000"/>
              </w:rPr>
            </w:pPr>
            <w:r w:rsidRPr="008E082E">
              <w:rPr>
                <w:color w:val="000000"/>
                <w:vertAlign w:val="superscript"/>
              </w:rPr>
              <w:t>***</w:t>
            </w:r>
          </w:p>
        </w:tc>
        <w:tc>
          <w:tcPr>
            <w:tcW w:w="0" w:type="auto"/>
            <w:tcBorders>
              <w:top w:val="nil"/>
              <w:left w:val="nil"/>
              <w:bottom w:val="nil"/>
              <w:right w:val="nil"/>
            </w:tcBorders>
            <w:shd w:val="clear" w:color="auto" w:fill="auto"/>
            <w:noWrap/>
            <w:vAlign w:val="bottom"/>
            <w:hideMark/>
          </w:tcPr>
          <w:p w:rsidR="00F85A66" w:rsidRPr="008E082E" w:rsidRDefault="00F85A66" w:rsidP="000D4BF4">
            <w:pPr>
              <w:overflowPunct/>
              <w:autoSpaceDE/>
              <w:autoSpaceDN/>
              <w:adjustRightInd/>
              <w:textAlignment w:val="auto"/>
              <w:rPr>
                <w:color w:val="000000"/>
              </w:rPr>
            </w:pPr>
            <w:r>
              <w:rPr>
                <w:color w:val="000000"/>
              </w:rPr>
              <w:t>(</w:t>
            </w:r>
            <w:r w:rsidRPr="008E082E">
              <w:rPr>
                <w:color w:val="000000"/>
              </w:rPr>
              <w:t>8.9</w:t>
            </w:r>
            <w:r>
              <w:rPr>
                <w:color w:val="000000"/>
              </w:rPr>
              <w:t>)</w:t>
            </w:r>
          </w:p>
        </w:tc>
        <w:tc>
          <w:tcPr>
            <w:tcW w:w="0" w:type="auto"/>
            <w:tcBorders>
              <w:top w:val="nil"/>
              <w:left w:val="nil"/>
              <w:bottom w:val="nil"/>
              <w:right w:val="nil"/>
            </w:tcBorders>
            <w:shd w:val="clear" w:color="auto" w:fill="auto"/>
            <w:noWrap/>
            <w:vAlign w:val="bottom"/>
            <w:hideMark/>
          </w:tcPr>
          <w:p w:rsidR="00F85A66" w:rsidRPr="008E082E" w:rsidRDefault="00F85A66" w:rsidP="00532660">
            <w:pPr>
              <w:overflowPunct/>
              <w:autoSpaceDE/>
              <w:autoSpaceDN/>
              <w:adjustRightInd/>
              <w:ind w:right="-60"/>
              <w:jc w:val="right"/>
              <w:textAlignment w:val="auto"/>
              <w:rPr>
                <w:color w:val="000000"/>
              </w:rPr>
            </w:pPr>
            <w:r>
              <w:rPr>
                <w:color w:val="000000"/>
              </w:rPr>
              <w:t>-</w:t>
            </w:r>
            <w:r w:rsidRPr="008E082E">
              <w:rPr>
                <w:color w:val="000000"/>
              </w:rPr>
              <w:t>0.192</w:t>
            </w:r>
          </w:p>
        </w:tc>
        <w:tc>
          <w:tcPr>
            <w:tcW w:w="0" w:type="auto"/>
            <w:tcBorders>
              <w:top w:val="nil"/>
              <w:left w:val="nil"/>
              <w:bottom w:val="nil"/>
              <w:right w:val="nil"/>
            </w:tcBorders>
            <w:shd w:val="clear" w:color="auto" w:fill="auto"/>
            <w:noWrap/>
            <w:vAlign w:val="bottom"/>
            <w:hideMark/>
          </w:tcPr>
          <w:p w:rsidR="00F85A66" w:rsidRPr="008E082E" w:rsidRDefault="00F85A66" w:rsidP="00532660">
            <w:pPr>
              <w:overflowPunct/>
              <w:autoSpaceDE/>
              <w:autoSpaceDN/>
              <w:adjustRightInd/>
              <w:ind w:left="-94"/>
              <w:textAlignment w:val="auto"/>
              <w:rPr>
                <w:color w:val="000000"/>
              </w:rPr>
            </w:pPr>
            <w:r w:rsidRPr="008E082E">
              <w:rPr>
                <w:color w:val="000000"/>
                <w:vertAlign w:val="superscript"/>
              </w:rPr>
              <w:t>**</w:t>
            </w:r>
          </w:p>
        </w:tc>
        <w:tc>
          <w:tcPr>
            <w:tcW w:w="0" w:type="auto"/>
            <w:tcBorders>
              <w:top w:val="nil"/>
              <w:left w:val="nil"/>
              <w:bottom w:val="nil"/>
              <w:right w:val="nil"/>
            </w:tcBorders>
            <w:shd w:val="clear" w:color="auto" w:fill="auto"/>
            <w:noWrap/>
            <w:vAlign w:val="bottom"/>
            <w:hideMark/>
          </w:tcPr>
          <w:p w:rsidR="00F85A66" w:rsidRPr="008E082E" w:rsidRDefault="00F85A66" w:rsidP="000D4BF4">
            <w:pPr>
              <w:overflowPunct/>
              <w:autoSpaceDE/>
              <w:autoSpaceDN/>
              <w:adjustRightInd/>
              <w:textAlignment w:val="auto"/>
              <w:rPr>
                <w:color w:val="000000"/>
              </w:rPr>
            </w:pPr>
            <w:r>
              <w:rPr>
                <w:color w:val="000000"/>
              </w:rPr>
              <w:t>(-</w:t>
            </w:r>
            <w:r w:rsidRPr="008E082E">
              <w:rPr>
                <w:color w:val="000000"/>
              </w:rPr>
              <w:t>2.2</w:t>
            </w:r>
            <w:r>
              <w:rPr>
                <w:color w:val="000000"/>
              </w:rPr>
              <w:t>)</w:t>
            </w:r>
          </w:p>
        </w:tc>
      </w:tr>
      <w:tr w:rsidR="00F85A66" w:rsidRPr="008E082E" w:rsidTr="008E082E">
        <w:trPr>
          <w:trHeight w:val="20"/>
        </w:trPr>
        <w:tc>
          <w:tcPr>
            <w:tcW w:w="0" w:type="auto"/>
            <w:tcBorders>
              <w:top w:val="nil"/>
              <w:left w:val="nil"/>
              <w:bottom w:val="nil"/>
              <w:right w:val="nil"/>
            </w:tcBorders>
            <w:shd w:val="clear" w:color="auto" w:fill="auto"/>
            <w:noWrap/>
            <w:vAlign w:val="bottom"/>
            <w:hideMark/>
          </w:tcPr>
          <w:p w:rsidR="00F85A66" w:rsidRPr="00F85A66" w:rsidRDefault="00F85A66" w:rsidP="008E082E">
            <w:pPr>
              <w:overflowPunct/>
              <w:autoSpaceDE/>
              <w:autoSpaceDN/>
              <w:adjustRightInd/>
              <w:textAlignment w:val="auto"/>
              <w:rPr>
                <w:color w:val="000000"/>
                <w:vertAlign w:val="subscript"/>
              </w:rPr>
            </w:pPr>
            <w:r w:rsidRPr="008E082E">
              <w:rPr>
                <w:color w:val="000000"/>
              </w:rPr>
              <w:t>Baa</w:t>
            </w:r>
            <w:r>
              <w:rPr>
                <w:color w:val="000000"/>
                <w:vertAlign w:val="subscript"/>
              </w:rPr>
              <w:t>t-1</w:t>
            </w:r>
          </w:p>
        </w:tc>
        <w:tc>
          <w:tcPr>
            <w:tcW w:w="0" w:type="auto"/>
            <w:tcBorders>
              <w:top w:val="nil"/>
              <w:left w:val="nil"/>
              <w:bottom w:val="nil"/>
              <w:right w:val="nil"/>
            </w:tcBorders>
            <w:shd w:val="clear" w:color="auto" w:fill="auto"/>
            <w:noWrap/>
            <w:vAlign w:val="bottom"/>
            <w:hideMark/>
          </w:tcPr>
          <w:p w:rsidR="00F85A66" w:rsidRPr="008E082E" w:rsidRDefault="00F85A66" w:rsidP="00532660">
            <w:pPr>
              <w:overflowPunct/>
              <w:autoSpaceDE/>
              <w:autoSpaceDN/>
              <w:adjustRightInd/>
              <w:ind w:right="-83"/>
              <w:jc w:val="right"/>
              <w:textAlignment w:val="auto"/>
              <w:rPr>
                <w:color w:val="000000"/>
              </w:rPr>
            </w:pPr>
            <w:r w:rsidRPr="008E082E">
              <w:rPr>
                <w:color w:val="000000"/>
              </w:rPr>
              <w:t>-0.001</w:t>
            </w:r>
          </w:p>
        </w:tc>
        <w:tc>
          <w:tcPr>
            <w:tcW w:w="0" w:type="auto"/>
            <w:tcBorders>
              <w:top w:val="nil"/>
              <w:left w:val="nil"/>
              <w:bottom w:val="nil"/>
              <w:right w:val="nil"/>
            </w:tcBorders>
            <w:shd w:val="clear" w:color="auto" w:fill="auto"/>
            <w:noWrap/>
            <w:vAlign w:val="bottom"/>
            <w:hideMark/>
          </w:tcPr>
          <w:p w:rsidR="00F85A66" w:rsidRPr="008E082E" w:rsidRDefault="00F85A66" w:rsidP="00532660">
            <w:pPr>
              <w:overflowPunct/>
              <w:autoSpaceDE/>
              <w:autoSpaceDN/>
              <w:adjustRightInd/>
              <w:ind w:left="-43"/>
              <w:textAlignment w:val="auto"/>
              <w:rPr>
                <w:color w:val="000000"/>
              </w:rPr>
            </w:pPr>
          </w:p>
        </w:tc>
        <w:tc>
          <w:tcPr>
            <w:tcW w:w="0" w:type="auto"/>
            <w:tcBorders>
              <w:top w:val="nil"/>
              <w:left w:val="nil"/>
              <w:bottom w:val="nil"/>
              <w:right w:val="nil"/>
            </w:tcBorders>
            <w:shd w:val="clear" w:color="auto" w:fill="auto"/>
            <w:noWrap/>
            <w:vAlign w:val="bottom"/>
            <w:hideMark/>
          </w:tcPr>
          <w:p w:rsidR="00F85A66" w:rsidRPr="008E082E" w:rsidRDefault="00F85A66" w:rsidP="000D4BF4">
            <w:pPr>
              <w:overflowPunct/>
              <w:autoSpaceDE/>
              <w:autoSpaceDN/>
              <w:adjustRightInd/>
              <w:textAlignment w:val="auto"/>
              <w:rPr>
                <w:color w:val="000000"/>
              </w:rPr>
            </w:pPr>
            <w:r>
              <w:rPr>
                <w:color w:val="000000"/>
              </w:rPr>
              <w:t>(</w:t>
            </w:r>
            <w:r w:rsidRPr="008E082E">
              <w:rPr>
                <w:color w:val="000000"/>
              </w:rPr>
              <w:t>-0.7</w:t>
            </w:r>
            <w:r>
              <w:rPr>
                <w:color w:val="000000"/>
              </w:rPr>
              <w:t>)</w:t>
            </w:r>
          </w:p>
        </w:tc>
        <w:tc>
          <w:tcPr>
            <w:tcW w:w="0" w:type="auto"/>
            <w:tcBorders>
              <w:top w:val="nil"/>
              <w:left w:val="nil"/>
              <w:bottom w:val="nil"/>
              <w:right w:val="nil"/>
            </w:tcBorders>
            <w:shd w:val="clear" w:color="auto" w:fill="auto"/>
            <w:noWrap/>
            <w:vAlign w:val="bottom"/>
            <w:hideMark/>
          </w:tcPr>
          <w:p w:rsidR="00F85A66" w:rsidRPr="008E082E" w:rsidRDefault="00F85A66" w:rsidP="00532660">
            <w:pPr>
              <w:overflowPunct/>
              <w:autoSpaceDE/>
              <w:autoSpaceDN/>
              <w:adjustRightInd/>
              <w:ind w:right="-115"/>
              <w:jc w:val="right"/>
              <w:textAlignment w:val="auto"/>
              <w:rPr>
                <w:color w:val="000000"/>
              </w:rPr>
            </w:pPr>
            <w:r>
              <w:rPr>
                <w:color w:val="000000"/>
              </w:rPr>
              <w:t>-</w:t>
            </w:r>
            <w:r w:rsidRPr="008E082E">
              <w:rPr>
                <w:color w:val="000000"/>
              </w:rPr>
              <w:t>0.002</w:t>
            </w:r>
          </w:p>
        </w:tc>
        <w:tc>
          <w:tcPr>
            <w:tcW w:w="0" w:type="auto"/>
            <w:tcBorders>
              <w:top w:val="nil"/>
              <w:left w:val="nil"/>
              <w:bottom w:val="nil"/>
              <w:right w:val="nil"/>
            </w:tcBorders>
            <w:shd w:val="clear" w:color="auto" w:fill="auto"/>
            <w:noWrap/>
            <w:vAlign w:val="bottom"/>
            <w:hideMark/>
          </w:tcPr>
          <w:p w:rsidR="00F85A66" w:rsidRPr="008E082E" w:rsidRDefault="00F85A66" w:rsidP="00532660">
            <w:pPr>
              <w:overflowPunct/>
              <w:autoSpaceDE/>
              <w:autoSpaceDN/>
              <w:adjustRightInd/>
              <w:ind w:left="-94"/>
              <w:textAlignment w:val="auto"/>
              <w:rPr>
                <w:color w:val="000000"/>
              </w:rPr>
            </w:pPr>
          </w:p>
        </w:tc>
        <w:tc>
          <w:tcPr>
            <w:tcW w:w="0" w:type="auto"/>
            <w:tcBorders>
              <w:top w:val="nil"/>
              <w:left w:val="nil"/>
              <w:bottom w:val="nil"/>
              <w:right w:val="nil"/>
            </w:tcBorders>
            <w:shd w:val="clear" w:color="auto" w:fill="auto"/>
            <w:noWrap/>
            <w:vAlign w:val="bottom"/>
            <w:hideMark/>
          </w:tcPr>
          <w:p w:rsidR="00F85A66" w:rsidRPr="008E082E" w:rsidRDefault="00F85A66" w:rsidP="000D4BF4">
            <w:pPr>
              <w:overflowPunct/>
              <w:autoSpaceDE/>
              <w:autoSpaceDN/>
              <w:adjustRightInd/>
              <w:textAlignment w:val="auto"/>
              <w:rPr>
                <w:color w:val="000000"/>
              </w:rPr>
            </w:pPr>
            <w:r>
              <w:rPr>
                <w:color w:val="000000"/>
              </w:rPr>
              <w:t>(-</w:t>
            </w:r>
            <w:r w:rsidRPr="008E082E">
              <w:rPr>
                <w:color w:val="000000"/>
              </w:rPr>
              <w:t>0.2</w:t>
            </w:r>
            <w:r>
              <w:rPr>
                <w:color w:val="000000"/>
              </w:rPr>
              <w:t>)</w:t>
            </w:r>
          </w:p>
        </w:tc>
        <w:tc>
          <w:tcPr>
            <w:tcW w:w="0" w:type="auto"/>
            <w:tcBorders>
              <w:top w:val="nil"/>
              <w:left w:val="nil"/>
              <w:bottom w:val="nil"/>
              <w:right w:val="nil"/>
            </w:tcBorders>
            <w:shd w:val="clear" w:color="auto" w:fill="auto"/>
            <w:noWrap/>
            <w:vAlign w:val="bottom"/>
            <w:hideMark/>
          </w:tcPr>
          <w:p w:rsidR="00F85A66" w:rsidRPr="008E082E" w:rsidRDefault="00F85A66" w:rsidP="00532660">
            <w:pPr>
              <w:overflowPunct/>
              <w:autoSpaceDE/>
              <w:autoSpaceDN/>
              <w:adjustRightInd/>
              <w:ind w:right="-60"/>
              <w:jc w:val="right"/>
              <w:textAlignment w:val="auto"/>
              <w:rPr>
                <w:color w:val="000000"/>
              </w:rPr>
            </w:pPr>
            <w:r w:rsidRPr="008E082E">
              <w:rPr>
                <w:color w:val="000000"/>
              </w:rPr>
              <w:t>-0.001</w:t>
            </w:r>
          </w:p>
        </w:tc>
        <w:tc>
          <w:tcPr>
            <w:tcW w:w="0" w:type="auto"/>
            <w:tcBorders>
              <w:top w:val="nil"/>
              <w:left w:val="nil"/>
              <w:bottom w:val="nil"/>
              <w:right w:val="nil"/>
            </w:tcBorders>
            <w:shd w:val="clear" w:color="auto" w:fill="auto"/>
            <w:noWrap/>
            <w:vAlign w:val="bottom"/>
            <w:hideMark/>
          </w:tcPr>
          <w:p w:rsidR="00F85A66" w:rsidRPr="008E082E" w:rsidRDefault="00F85A66" w:rsidP="00532660">
            <w:pPr>
              <w:overflowPunct/>
              <w:autoSpaceDE/>
              <w:autoSpaceDN/>
              <w:adjustRightInd/>
              <w:ind w:left="-94"/>
              <w:textAlignment w:val="auto"/>
              <w:rPr>
                <w:color w:val="000000"/>
              </w:rPr>
            </w:pPr>
          </w:p>
        </w:tc>
        <w:tc>
          <w:tcPr>
            <w:tcW w:w="0" w:type="auto"/>
            <w:tcBorders>
              <w:top w:val="nil"/>
              <w:left w:val="nil"/>
              <w:bottom w:val="nil"/>
              <w:right w:val="nil"/>
            </w:tcBorders>
            <w:shd w:val="clear" w:color="auto" w:fill="auto"/>
            <w:noWrap/>
            <w:vAlign w:val="bottom"/>
            <w:hideMark/>
          </w:tcPr>
          <w:p w:rsidR="00F85A66" w:rsidRPr="008E082E" w:rsidRDefault="00F85A66" w:rsidP="000D4BF4">
            <w:pPr>
              <w:overflowPunct/>
              <w:autoSpaceDE/>
              <w:autoSpaceDN/>
              <w:adjustRightInd/>
              <w:textAlignment w:val="auto"/>
              <w:rPr>
                <w:color w:val="000000"/>
              </w:rPr>
            </w:pPr>
            <w:r>
              <w:rPr>
                <w:color w:val="000000"/>
              </w:rPr>
              <w:t>(</w:t>
            </w:r>
            <w:r w:rsidRPr="008E082E">
              <w:rPr>
                <w:color w:val="000000"/>
              </w:rPr>
              <w:t>-0.2</w:t>
            </w:r>
            <w:r>
              <w:rPr>
                <w:color w:val="000000"/>
              </w:rPr>
              <w:t>)</w:t>
            </w:r>
          </w:p>
        </w:tc>
      </w:tr>
      <w:tr w:rsidR="00F85A66" w:rsidRPr="008E082E" w:rsidTr="008E082E">
        <w:trPr>
          <w:trHeight w:val="20"/>
        </w:trPr>
        <w:tc>
          <w:tcPr>
            <w:tcW w:w="0" w:type="auto"/>
            <w:tcBorders>
              <w:top w:val="nil"/>
              <w:left w:val="nil"/>
              <w:bottom w:val="nil"/>
              <w:right w:val="nil"/>
            </w:tcBorders>
            <w:shd w:val="clear" w:color="auto" w:fill="auto"/>
            <w:noWrap/>
            <w:vAlign w:val="bottom"/>
            <w:hideMark/>
          </w:tcPr>
          <w:p w:rsidR="00F85A66" w:rsidRPr="00F85A66" w:rsidRDefault="00F85A66" w:rsidP="008E082E">
            <w:pPr>
              <w:overflowPunct/>
              <w:autoSpaceDE/>
              <w:autoSpaceDN/>
              <w:adjustRightInd/>
              <w:textAlignment w:val="auto"/>
              <w:rPr>
                <w:color w:val="000000"/>
                <w:vertAlign w:val="subscript"/>
              </w:rPr>
            </w:pPr>
            <w:r w:rsidRPr="008E082E">
              <w:rPr>
                <w:color w:val="000000"/>
              </w:rPr>
              <w:t>(R</w:t>
            </w:r>
            <w:r w:rsidRPr="00C902DA">
              <w:rPr>
                <w:color w:val="000000"/>
                <w:vertAlign w:val="subscript"/>
              </w:rPr>
              <w:t>M</w:t>
            </w:r>
            <w:r w:rsidRPr="008E082E">
              <w:rPr>
                <w:color w:val="000000"/>
              </w:rPr>
              <w:t xml:space="preserve"> - R</w:t>
            </w:r>
            <w:r w:rsidRPr="00C902DA">
              <w:rPr>
                <w:color w:val="000000"/>
                <w:vertAlign w:val="subscript"/>
              </w:rPr>
              <w:t>F</w:t>
            </w:r>
            <w:r w:rsidRPr="008E082E">
              <w:rPr>
                <w:color w:val="000000"/>
              </w:rPr>
              <w:t>)</w:t>
            </w:r>
            <w:r>
              <w:rPr>
                <w:color w:val="000000"/>
                <w:vertAlign w:val="subscript"/>
              </w:rPr>
              <w:t>t-1</w:t>
            </w:r>
          </w:p>
        </w:tc>
        <w:tc>
          <w:tcPr>
            <w:tcW w:w="0" w:type="auto"/>
            <w:tcBorders>
              <w:top w:val="nil"/>
              <w:left w:val="nil"/>
              <w:bottom w:val="nil"/>
              <w:right w:val="nil"/>
            </w:tcBorders>
            <w:shd w:val="clear" w:color="auto" w:fill="auto"/>
            <w:noWrap/>
            <w:vAlign w:val="bottom"/>
            <w:hideMark/>
          </w:tcPr>
          <w:p w:rsidR="00F85A66" w:rsidRPr="008E082E" w:rsidRDefault="00F85A66" w:rsidP="00532660">
            <w:pPr>
              <w:overflowPunct/>
              <w:autoSpaceDE/>
              <w:autoSpaceDN/>
              <w:adjustRightInd/>
              <w:ind w:right="-83"/>
              <w:jc w:val="right"/>
              <w:textAlignment w:val="auto"/>
              <w:rPr>
                <w:color w:val="000000"/>
              </w:rPr>
            </w:pPr>
            <w:r w:rsidRPr="008E082E">
              <w:rPr>
                <w:color w:val="000000"/>
              </w:rPr>
              <w:t>-0.022</w:t>
            </w:r>
          </w:p>
        </w:tc>
        <w:tc>
          <w:tcPr>
            <w:tcW w:w="0" w:type="auto"/>
            <w:tcBorders>
              <w:top w:val="nil"/>
              <w:left w:val="nil"/>
              <w:bottom w:val="nil"/>
              <w:right w:val="nil"/>
            </w:tcBorders>
            <w:shd w:val="clear" w:color="auto" w:fill="auto"/>
            <w:noWrap/>
            <w:vAlign w:val="bottom"/>
            <w:hideMark/>
          </w:tcPr>
          <w:p w:rsidR="00F85A66" w:rsidRPr="008E082E" w:rsidRDefault="00F85A66" w:rsidP="00532660">
            <w:pPr>
              <w:overflowPunct/>
              <w:autoSpaceDE/>
              <w:autoSpaceDN/>
              <w:adjustRightInd/>
              <w:ind w:left="-43"/>
              <w:textAlignment w:val="auto"/>
              <w:rPr>
                <w:color w:val="000000"/>
              </w:rPr>
            </w:pPr>
          </w:p>
        </w:tc>
        <w:tc>
          <w:tcPr>
            <w:tcW w:w="0" w:type="auto"/>
            <w:tcBorders>
              <w:top w:val="nil"/>
              <w:left w:val="nil"/>
              <w:bottom w:val="nil"/>
              <w:right w:val="nil"/>
            </w:tcBorders>
            <w:shd w:val="clear" w:color="auto" w:fill="auto"/>
            <w:noWrap/>
            <w:vAlign w:val="bottom"/>
            <w:hideMark/>
          </w:tcPr>
          <w:p w:rsidR="00F85A66" w:rsidRPr="008E082E" w:rsidRDefault="00F85A66" w:rsidP="000D4BF4">
            <w:pPr>
              <w:overflowPunct/>
              <w:autoSpaceDE/>
              <w:autoSpaceDN/>
              <w:adjustRightInd/>
              <w:textAlignment w:val="auto"/>
              <w:rPr>
                <w:color w:val="000000"/>
              </w:rPr>
            </w:pPr>
            <w:r>
              <w:rPr>
                <w:color w:val="000000"/>
              </w:rPr>
              <w:t>(</w:t>
            </w:r>
            <w:r w:rsidRPr="008E082E">
              <w:rPr>
                <w:color w:val="000000"/>
              </w:rPr>
              <w:t>-1.2</w:t>
            </w:r>
            <w:r>
              <w:rPr>
                <w:color w:val="000000"/>
              </w:rPr>
              <w:t>)</w:t>
            </w:r>
          </w:p>
        </w:tc>
        <w:tc>
          <w:tcPr>
            <w:tcW w:w="0" w:type="auto"/>
            <w:tcBorders>
              <w:top w:val="nil"/>
              <w:left w:val="nil"/>
              <w:bottom w:val="nil"/>
              <w:right w:val="nil"/>
            </w:tcBorders>
            <w:shd w:val="clear" w:color="auto" w:fill="auto"/>
            <w:noWrap/>
            <w:vAlign w:val="bottom"/>
            <w:hideMark/>
          </w:tcPr>
          <w:p w:rsidR="00F85A66" w:rsidRPr="008E082E" w:rsidRDefault="00F85A66" w:rsidP="00532660">
            <w:pPr>
              <w:overflowPunct/>
              <w:autoSpaceDE/>
              <w:autoSpaceDN/>
              <w:adjustRightInd/>
              <w:ind w:right="-115"/>
              <w:jc w:val="right"/>
              <w:textAlignment w:val="auto"/>
              <w:rPr>
                <w:color w:val="000000"/>
              </w:rPr>
            </w:pPr>
            <w:r w:rsidRPr="008E082E">
              <w:rPr>
                <w:color w:val="000000"/>
              </w:rPr>
              <w:t>0.026</w:t>
            </w:r>
          </w:p>
        </w:tc>
        <w:tc>
          <w:tcPr>
            <w:tcW w:w="0" w:type="auto"/>
            <w:tcBorders>
              <w:top w:val="nil"/>
              <w:left w:val="nil"/>
              <w:bottom w:val="nil"/>
              <w:right w:val="nil"/>
            </w:tcBorders>
            <w:shd w:val="clear" w:color="auto" w:fill="auto"/>
            <w:noWrap/>
            <w:vAlign w:val="bottom"/>
            <w:hideMark/>
          </w:tcPr>
          <w:p w:rsidR="00F85A66" w:rsidRPr="008E082E" w:rsidRDefault="00F85A66" w:rsidP="00532660">
            <w:pPr>
              <w:overflowPunct/>
              <w:autoSpaceDE/>
              <w:autoSpaceDN/>
              <w:adjustRightInd/>
              <w:ind w:left="-94"/>
              <w:textAlignment w:val="auto"/>
              <w:rPr>
                <w:color w:val="000000"/>
              </w:rPr>
            </w:pPr>
          </w:p>
        </w:tc>
        <w:tc>
          <w:tcPr>
            <w:tcW w:w="0" w:type="auto"/>
            <w:tcBorders>
              <w:top w:val="nil"/>
              <w:left w:val="nil"/>
              <w:bottom w:val="nil"/>
              <w:right w:val="nil"/>
            </w:tcBorders>
            <w:shd w:val="clear" w:color="auto" w:fill="auto"/>
            <w:noWrap/>
            <w:vAlign w:val="bottom"/>
            <w:hideMark/>
          </w:tcPr>
          <w:p w:rsidR="00F85A66" w:rsidRPr="008E082E" w:rsidRDefault="00F85A66" w:rsidP="000D4BF4">
            <w:pPr>
              <w:overflowPunct/>
              <w:autoSpaceDE/>
              <w:autoSpaceDN/>
              <w:adjustRightInd/>
              <w:textAlignment w:val="auto"/>
              <w:rPr>
                <w:color w:val="000000"/>
              </w:rPr>
            </w:pPr>
            <w:r>
              <w:rPr>
                <w:color w:val="000000"/>
              </w:rPr>
              <w:t>(</w:t>
            </w:r>
            <w:r w:rsidRPr="008E082E">
              <w:rPr>
                <w:color w:val="000000"/>
              </w:rPr>
              <w:t>0.4</w:t>
            </w:r>
            <w:r>
              <w:rPr>
                <w:color w:val="000000"/>
              </w:rPr>
              <w:t>)</w:t>
            </w:r>
          </w:p>
        </w:tc>
        <w:tc>
          <w:tcPr>
            <w:tcW w:w="0" w:type="auto"/>
            <w:tcBorders>
              <w:top w:val="nil"/>
              <w:left w:val="nil"/>
              <w:bottom w:val="nil"/>
              <w:right w:val="nil"/>
            </w:tcBorders>
            <w:shd w:val="clear" w:color="auto" w:fill="auto"/>
            <w:noWrap/>
            <w:vAlign w:val="bottom"/>
            <w:hideMark/>
          </w:tcPr>
          <w:p w:rsidR="00F85A66" w:rsidRPr="008E082E" w:rsidRDefault="00F85A66" w:rsidP="00532660">
            <w:pPr>
              <w:overflowPunct/>
              <w:autoSpaceDE/>
              <w:autoSpaceDN/>
              <w:adjustRightInd/>
              <w:ind w:right="-60"/>
              <w:jc w:val="right"/>
              <w:textAlignment w:val="auto"/>
              <w:rPr>
                <w:color w:val="000000"/>
              </w:rPr>
            </w:pPr>
            <w:r w:rsidRPr="008E082E">
              <w:rPr>
                <w:color w:val="000000"/>
              </w:rPr>
              <w:t>0.107</w:t>
            </w:r>
          </w:p>
        </w:tc>
        <w:tc>
          <w:tcPr>
            <w:tcW w:w="0" w:type="auto"/>
            <w:tcBorders>
              <w:top w:val="nil"/>
              <w:left w:val="nil"/>
              <w:bottom w:val="nil"/>
              <w:right w:val="nil"/>
            </w:tcBorders>
            <w:shd w:val="clear" w:color="auto" w:fill="auto"/>
            <w:noWrap/>
            <w:vAlign w:val="bottom"/>
            <w:hideMark/>
          </w:tcPr>
          <w:p w:rsidR="00F85A66" w:rsidRPr="008E082E" w:rsidRDefault="00F85A66" w:rsidP="00532660">
            <w:pPr>
              <w:overflowPunct/>
              <w:autoSpaceDE/>
              <w:autoSpaceDN/>
              <w:adjustRightInd/>
              <w:ind w:left="-94"/>
              <w:textAlignment w:val="auto"/>
              <w:rPr>
                <w:color w:val="000000"/>
              </w:rPr>
            </w:pPr>
          </w:p>
        </w:tc>
        <w:tc>
          <w:tcPr>
            <w:tcW w:w="0" w:type="auto"/>
            <w:tcBorders>
              <w:top w:val="nil"/>
              <w:left w:val="nil"/>
              <w:bottom w:val="nil"/>
              <w:right w:val="nil"/>
            </w:tcBorders>
            <w:shd w:val="clear" w:color="auto" w:fill="auto"/>
            <w:noWrap/>
            <w:vAlign w:val="bottom"/>
            <w:hideMark/>
          </w:tcPr>
          <w:p w:rsidR="00F85A66" w:rsidRPr="008E082E" w:rsidRDefault="00F85A66" w:rsidP="000D4BF4">
            <w:pPr>
              <w:overflowPunct/>
              <w:autoSpaceDE/>
              <w:autoSpaceDN/>
              <w:adjustRightInd/>
              <w:textAlignment w:val="auto"/>
              <w:rPr>
                <w:color w:val="000000"/>
              </w:rPr>
            </w:pPr>
            <w:r>
              <w:rPr>
                <w:color w:val="000000"/>
              </w:rPr>
              <w:t>(</w:t>
            </w:r>
            <w:r w:rsidRPr="008E082E">
              <w:rPr>
                <w:color w:val="000000"/>
              </w:rPr>
              <w:t>1.5</w:t>
            </w:r>
            <w:r>
              <w:rPr>
                <w:color w:val="000000"/>
              </w:rPr>
              <w:t>)</w:t>
            </w:r>
          </w:p>
        </w:tc>
      </w:tr>
      <w:tr w:rsidR="00F85A66" w:rsidRPr="008E082E" w:rsidTr="008E082E">
        <w:trPr>
          <w:trHeight w:val="20"/>
        </w:trPr>
        <w:tc>
          <w:tcPr>
            <w:tcW w:w="0" w:type="auto"/>
            <w:tcBorders>
              <w:top w:val="nil"/>
              <w:left w:val="nil"/>
              <w:bottom w:val="nil"/>
              <w:right w:val="nil"/>
            </w:tcBorders>
            <w:shd w:val="clear" w:color="auto" w:fill="auto"/>
            <w:noWrap/>
            <w:vAlign w:val="bottom"/>
            <w:hideMark/>
          </w:tcPr>
          <w:p w:rsidR="00F85A66" w:rsidRPr="00F85A66" w:rsidRDefault="00F85A66" w:rsidP="008E082E">
            <w:pPr>
              <w:overflowPunct/>
              <w:autoSpaceDE/>
              <w:autoSpaceDN/>
              <w:adjustRightInd/>
              <w:textAlignment w:val="auto"/>
              <w:rPr>
                <w:color w:val="000000"/>
                <w:vertAlign w:val="subscript"/>
              </w:rPr>
            </w:pPr>
            <w:r w:rsidRPr="008E082E">
              <w:rPr>
                <w:color w:val="000000"/>
              </w:rPr>
              <w:t>HML</w:t>
            </w:r>
            <w:r>
              <w:rPr>
                <w:color w:val="000000"/>
                <w:vertAlign w:val="subscript"/>
              </w:rPr>
              <w:t>t-1</w:t>
            </w:r>
          </w:p>
        </w:tc>
        <w:tc>
          <w:tcPr>
            <w:tcW w:w="0" w:type="auto"/>
            <w:tcBorders>
              <w:top w:val="nil"/>
              <w:left w:val="nil"/>
              <w:bottom w:val="nil"/>
              <w:right w:val="nil"/>
            </w:tcBorders>
            <w:shd w:val="clear" w:color="auto" w:fill="auto"/>
            <w:noWrap/>
            <w:vAlign w:val="bottom"/>
            <w:hideMark/>
          </w:tcPr>
          <w:p w:rsidR="00F85A66" w:rsidRPr="008E082E" w:rsidRDefault="00F85A66" w:rsidP="00532660">
            <w:pPr>
              <w:overflowPunct/>
              <w:autoSpaceDE/>
              <w:autoSpaceDN/>
              <w:adjustRightInd/>
              <w:ind w:right="-83"/>
              <w:jc w:val="right"/>
              <w:textAlignment w:val="auto"/>
              <w:rPr>
                <w:color w:val="000000"/>
              </w:rPr>
            </w:pPr>
            <w:r w:rsidRPr="008E082E">
              <w:rPr>
                <w:color w:val="000000"/>
              </w:rPr>
              <w:t>-0.059</w:t>
            </w:r>
          </w:p>
        </w:tc>
        <w:tc>
          <w:tcPr>
            <w:tcW w:w="0" w:type="auto"/>
            <w:tcBorders>
              <w:top w:val="nil"/>
              <w:left w:val="nil"/>
              <w:bottom w:val="nil"/>
              <w:right w:val="nil"/>
            </w:tcBorders>
            <w:shd w:val="clear" w:color="auto" w:fill="auto"/>
            <w:noWrap/>
            <w:vAlign w:val="bottom"/>
            <w:hideMark/>
          </w:tcPr>
          <w:p w:rsidR="00F85A66" w:rsidRPr="008E082E" w:rsidRDefault="00F85A66" w:rsidP="00532660">
            <w:pPr>
              <w:overflowPunct/>
              <w:autoSpaceDE/>
              <w:autoSpaceDN/>
              <w:adjustRightInd/>
              <w:ind w:left="-43"/>
              <w:textAlignment w:val="auto"/>
              <w:rPr>
                <w:color w:val="000000"/>
              </w:rPr>
            </w:pPr>
            <w:r w:rsidRPr="008E082E">
              <w:rPr>
                <w:color w:val="000000"/>
                <w:vertAlign w:val="superscript"/>
              </w:rPr>
              <w:t>**</w:t>
            </w:r>
          </w:p>
        </w:tc>
        <w:tc>
          <w:tcPr>
            <w:tcW w:w="0" w:type="auto"/>
            <w:tcBorders>
              <w:top w:val="nil"/>
              <w:left w:val="nil"/>
              <w:bottom w:val="nil"/>
              <w:right w:val="nil"/>
            </w:tcBorders>
            <w:shd w:val="clear" w:color="auto" w:fill="auto"/>
            <w:noWrap/>
            <w:vAlign w:val="bottom"/>
            <w:hideMark/>
          </w:tcPr>
          <w:p w:rsidR="00F85A66" w:rsidRPr="008E082E" w:rsidRDefault="00F85A66" w:rsidP="000D4BF4">
            <w:pPr>
              <w:overflowPunct/>
              <w:autoSpaceDE/>
              <w:autoSpaceDN/>
              <w:adjustRightInd/>
              <w:textAlignment w:val="auto"/>
              <w:rPr>
                <w:color w:val="000000"/>
              </w:rPr>
            </w:pPr>
            <w:r>
              <w:rPr>
                <w:color w:val="000000"/>
              </w:rPr>
              <w:t>(</w:t>
            </w:r>
            <w:r w:rsidRPr="008E082E">
              <w:rPr>
                <w:color w:val="000000"/>
              </w:rPr>
              <w:t>-2.4</w:t>
            </w:r>
            <w:r>
              <w:rPr>
                <w:color w:val="000000"/>
              </w:rPr>
              <w:t>)</w:t>
            </w:r>
          </w:p>
        </w:tc>
        <w:tc>
          <w:tcPr>
            <w:tcW w:w="0" w:type="auto"/>
            <w:tcBorders>
              <w:top w:val="nil"/>
              <w:left w:val="nil"/>
              <w:bottom w:val="nil"/>
              <w:right w:val="nil"/>
            </w:tcBorders>
            <w:shd w:val="clear" w:color="auto" w:fill="auto"/>
            <w:noWrap/>
            <w:vAlign w:val="bottom"/>
            <w:hideMark/>
          </w:tcPr>
          <w:p w:rsidR="00F85A66" w:rsidRPr="008E082E" w:rsidRDefault="00F85A66" w:rsidP="00532660">
            <w:pPr>
              <w:overflowPunct/>
              <w:autoSpaceDE/>
              <w:autoSpaceDN/>
              <w:adjustRightInd/>
              <w:ind w:right="-115"/>
              <w:jc w:val="right"/>
              <w:textAlignment w:val="auto"/>
              <w:rPr>
                <w:color w:val="000000"/>
              </w:rPr>
            </w:pPr>
            <w:r>
              <w:rPr>
                <w:color w:val="000000"/>
              </w:rPr>
              <w:t>-</w:t>
            </w:r>
            <w:r w:rsidRPr="008E082E">
              <w:rPr>
                <w:color w:val="000000"/>
              </w:rPr>
              <w:t>0.040</w:t>
            </w:r>
          </w:p>
        </w:tc>
        <w:tc>
          <w:tcPr>
            <w:tcW w:w="0" w:type="auto"/>
            <w:tcBorders>
              <w:top w:val="nil"/>
              <w:left w:val="nil"/>
              <w:bottom w:val="nil"/>
              <w:right w:val="nil"/>
            </w:tcBorders>
            <w:shd w:val="clear" w:color="auto" w:fill="auto"/>
            <w:noWrap/>
            <w:vAlign w:val="bottom"/>
            <w:hideMark/>
          </w:tcPr>
          <w:p w:rsidR="00F85A66" w:rsidRPr="008E082E" w:rsidRDefault="00F85A66" w:rsidP="00532660">
            <w:pPr>
              <w:overflowPunct/>
              <w:autoSpaceDE/>
              <w:autoSpaceDN/>
              <w:adjustRightInd/>
              <w:ind w:left="-94"/>
              <w:textAlignment w:val="auto"/>
              <w:rPr>
                <w:color w:val="000000"/>
              </w:rPr>
            </w:pPr>
          </w:p>
        </w:tc>
        <w:tc>
          <w:tcPr>
            <w:tcW w:w="0" w:type="auto"/>
            <w:tcBorders>
              <w:top w:val="nil"/>
              <w:left w:val="nil"/>
              <w:bottom w:val="nil"/>
              <w:right w:val="nil"/>
            </w:tcBorders>
            <w:shd w:val="clear" w:color="auto" w:fill="auto"/>
            <w:noWrap/>
            <w:vAlign w:val="bottom"/>
            <w:hideMark/>
          </w:tcPr>
          <w:p w:rsidR="00F85A66" w:rsidRPr="008E082E" w:rsidRDefault="00F85A66" w:rsidP="000D4BF4">
            <w:pPr>
              <w:overflowPunct/>
              <w:autoSpaceDE/>
              <w:autoSpaceDN/>
              <w:adjustRightInd/>
              <w:textAlignment w:val="auto"/>
              <w:rPr>
                <w:color w:val="000000"/>
              </w:rPr>
            </w:pPr>
            <w:r>
              <w:rPr>
                <w:color w:val="000000"/>
              </w:rPr>
              <w:t>(-</w:t>
            </w:r>
            <w:r w:rsidRPr="008E082E">
              <w:rPr>
                <w:color w:val="000000"/>
              </w:rPr>
              <w:t>0.5</w:t>
            </w:r>
            <w:r>
              <w:rPr>
                <w:color w:val="000000"/>
              </w:rPr>
              <w:t>)</w:t>
            </w:r>
          </w:p>
        </w:tc>
        <w:tc>
          <w:tcPr>
            <w:tcW w:w="0" w:type="auto"/>
            <w:tcBorders>
              <w:top w:val="nil"/>
              <w:left w:val="nil"/>
              <w:bottom w:val="nil"/>
              <w:right w:val="nil"/>
            </w:tcBorders>
            <w:shd w:val="clear" w:color="auto" w:fill="auto"/>
            <w:noWrap/>
            <w:vAlign w:val="bottom"/>
            <w:hideMark/>
          </w:tcPr>
          <w:p w:rsidR="00F85A66" w:rsidRPr="008E082E" w:rsidRDefault="00F85A66" w:rsidP="00532660">
            <w:pPr>
              <w:overflowPunct/>
              <w:autoSpaceDE/>
              <w:autoSpaceDN/>
              <w:adjustRightInd/>
              <w:ind w:right="-60"/>
              <w:jc w:val="right"/>
              <w:textAlignment w:val="auto"/>
              <w:rPr>
                <w:color w:val="000000"/>
              </w:rPr>
            </w:pPr>
            <w:r w:rsidRPr="008E082E">
              <w:rPr>
                <w:color w:val="000000"/>
              </w:rPr>
              <w:t>-0.058</w:t>
            </w:r>
          </w:p>
        </w:tc>
        <w:tc>
          <w:tcPr>
            <w:tcW w:w="0" w:type="auto"/>
            <w:tcBorders>
              <w:top w:val="nil"/>
              <w:left w:val="nil"/>
              <w:bottom w:val="nil"/>
              <w:right w:val="nil"/>
            </w:tcBorders>
            <w:shd w:val="clear" w:color="auto" w:fill="auto"/>
            <w:noWrap/>
            <w:vAlign w:val="bottom"/>
            <w:hideMark/>
          </w:tcPr>
          <w:p w:rsidR="00F85A66" w:rsidRPr="008E082E" w:rsidRDefault="00F85A66" w:rsidP="00532660">
            <w:pPr>
              <w:overflowPunct/>
              <w:autoSpaceDE/>
              <w:autoSpaceDN/>
              <w:adjustRightInd/>
              <w:ind w:left="-94"/>
              <w:textAlignment w:val="auto"/>
              <w:rPr>
                <w:color w:val="000000"/>
              </w:rPr>
            </w:pPr>
          </w:p>
        </w:tc>
        <w:tc>
          <w:tcPr>
            <w:tcW w:w="0" w:type="auto"/>
            <w:tcBorders>
              <w:top w:val="nil"/>
              <w:left w:val="nil"/>
              <w:bottom w:val="nil"/>
              <w:right w:val="nil"/>
            </w:tcBorders>
            <w:shd w:val="clear" w:color="auto" w:fill="auto"/>
            <w:noWrap/>
            <w:vAlign w:val="bottom"/>
            <w:hideMark/>
          </w:tcPr>
          <w:p w:rsidR="00F85A66" w:rsidRPr="008E082E" w:rsidRDefault="00F85A66" w:rsidP="000D4BF4">
            <w:pPr>
              <w:overflowPunct/>
              <w:autoSpaceDE/>
              <w:autoSpaceDN/>
              <w:adjustRightInd/>
              <w:textAlignment w:val="auto"/>
              <w:rPr>
                <w:color w:val="000000"/>
              </w:rPr>
            </w:pPr>
            <w:r>
              <w:rPr>
                <w:color w:val="000000"/>
              </w:rPr>
              <w:t>(</w:t>
            </w:r>
            <w:r w:rsidRPr="008E082E">
              <w:rPr>
                <w:color w:val="000000"/>
              </w:rPr>
              <w:t>-0.6</w:t>
            </w:r>
            <w:r>
              <w:rPr>
                <w:color w:val="000000"/>
              </w:rPr>
              <w:t>)</w:t>
            </w:r>
          </w:p>
        </w:tc>
      </w:tr>
      <w:tr w:rsidR="00F85A66" w:rsidRPr="008E082E" w:rsidTr="008E082E">
        <w:trPr>
          <w:trHeight w:val="20"/>
        </w:trPr>
        <w:tc>
          <w:tcPr>
            <w:tcW w:w="0" w:type="auto"/>
            <w:tcBorders>
              <w:top w:val="nil"/>
              <w:left w:val="nil"/>
              <w:bottom w:val="nil"/>
              <w:right w:val="nil"/>
            </w:tcBorders>
            <w:shd w:val="clear" w:color="auto" w:fill="auto"/>
            <w:noWrap/>
            <w:vAlign w:val="bottom"/>
            <w:hideMark/>
          </w:tcPr>
          <w:p w:rsidR="00F85A66" w:rsidRPr="00F85A66" w:rsidRDefault="00F85A66" w:rsidP="008E082E">
            <w:pPr>
              <w:overflowPunct/>
              <w:autoSpaceDE/>
              <w:autoSpaceDN/>
              <w:adjustRightInd/>
              <w:textAlignment w:val="auto"/>
              <w:rPr>
                <w:color w:val="000000"/>
                <w:vertAlign w:val="subscript"/>
              </w:rPr>
            </w:pPr>
            <w:r w:rsidRPr="008E082E">
              <w:rPr>
                <w:color w:val="000000"/>
              </w:rPr>
              <w:t>SMB</w:t>
            </w:r>
            <w:r>
              <w:rPr>
                <w:color w:val="000000"/>
                <w:vertAlign w:val="subscript"/>
              </w:rPr>
              <w:t>t-1</w:t>
            </w:r>
          </w:p>
        </w:tc>
        <w:tc>
          <w:tcPr>
            <w:tcW w:w="0" w:type="auto"/>
            <w:tcBorders>
              <w:top w:val="nil"/>
              <w:left w:val="nil"/>
              <w:bottom w:val="nil"/>
              <w:right w:val="nil"/>
            </w:tcBorders>
            <w:shd w:val="clear" w:color="auto" w:fill="auto"/>
            <w:noWrap/>
            <w:vAlign w:val="bottom"/>
            <w:hideMark/>
          </w:tcPr>
          <w:p w:rsidR="00F85A66" w:rsidRPr="008E082E" w:rsidRDefault="00F85A66" w:rsidP="00532660">
            <w:pPr>
              <w:overflowPunct/>
              <w:autoSpaceDE/>
              <w:autoSpaceDN/>
              <w:adjustRightInd/>
              <w:ind w:right="-83"/>
              <w:jc w:val="right"/>
              <w:textAlignment w:val="auto"/>
              <w:rPr>
                <w:color w:val="000000"/>
              </w:rPr>
            </w:pPr>
            <w:r w:rsidRPr="008E082E">
              <w:rPr>
                <w:color w:val="000000"/>
              </w:rPr>
              <w:t>-0.037</w:t>
            </w:r>
          </w:p>
        </w:tc>
        <w:tc>
          <w:tcPr>
            <w:tcW w:w="0" w:type="auto"/>
            <w:tcBorders>
              <w:top w:val="nil"/>
              <w:left w:val="nil"/>
              <w:bottom w:val="nil"/>
              <w:right w:val="nil"/>
            </w:tcBorders>
            <w:shd w:val="clear" w:color="auto" w:fill="auto"/>
            <w:noWrap/>
            <w:vAlign w:val="bottom"/>
            <w:hideMark/>
          </w:tcPr>
          <w:p w:rsidR="00F85A66" w:rsidRPr="008E082E" w:rsidRDefault="00F85A66" w:rsidP="00532660">
            <w:pPr>
              <w:overflowPunct/>
              <w:autoSpaceDE/>
              <w:autoSpaceDN/>
              <w:adjustRightInd/>
              <w:ind w:left="-43"/>
              <w:textAlignment w:val="auto"/>
              <w:rPr>
                <w:color w:val="000000"/>
              </w:rPr>
            </w:pPr>
            <w:r w:rsidRPr="008E082E">
              <w:rPr>
                <w:color w:val="000000"/>
                <w:vertAlign w:val="superscript"/>
              </w:rPr>
              <w:t>**</w:t>
            </w:r>
          </w:p>
        </w:tc>
        <w:tc>
          <w:tcPr>
            <w:tcW w:w="0" w:type="auto"/>
            <w:tcBorders>
              <w:top w:val="nil"/>
              <w:left w:val="nil"/>
              <w:bottom w:val="nil"/>
              <w:right w:val="nil"/>
            </w:tcBorders>
            <w:shd w:val="clear" w:color="auto" w:fill="auto"/>
            <w:noWrap/>
            <w:vAlign w:val="bottom"/>
            <w:hideMark/>
          </w:tcPr>
          <w:p w:rsidR="00F85A66" w:rsidRPr="008E082E" w:rsidRDefault="00F85A66" w:rsidP="000D4BF4">
            <w:pPr>
              <w:overflowPunct/>
              <w:autoSpaceDE/>
              <w:autoSpaceDN/>
              <w:adjustRightInd/>
              <w:textAlignment w:val="auto"/>
              <w:rPr>
                <w:color w:val="000000"/>
              </w:rPr>
            </w:pPr>
            <w:r>
              <w:rPr>
                <w:color w:val="000000"/>
              </w:rPr>
              <w:t>(</w:t>
            </w:r>
            <w:r w:rsidRPr="008E082E">
              <w:rPr>
                <w:color w:val="000000"/>
              </w:rPr>
              <w:t>-2.0</w:t>
            </w:r>
            <w:r>
              <w:rPr>
                <w:color w:val="000000"/>
              </w:rPr>
              <w:t>)</w:t>
            </w:r>
          </w:p>
        </w:tc>
        <w:tc>
          <w:tcPr>
            <w:tcW w:w="0" w:type="auto"/>
            <w:tcBorders>
              <w:top w:val="nil"/>
              <w:left w:val="nil"/>
              <w:bottom w:val="nil"/>
              <w:right w:val="nil"/>
            </w:tcBorders>
            <w:shd w:val="clear" w:color="auto" w:fill="auto"/>
            <w:noWrap/>
            <w:vAlign w:val="bottom"/>
            <w:hideMark/>
          </w:tcPr>
          <w:p w:rsidR="00F85A66" w:rsidRPr="008E082E" w:rsidRDefault="00F85A66" w:rsidP="00532660">
            <w:pPr>
              <w:overflowPunct/>
              <w:autoSpaceDE/>
              <w:autoSpaceDN/>
              <w:adjustRightInd/>
              <w:ind w:right="-115"/>
              <w:jc w:val="right"/>
              <w:textAlignment w:val="auto"/>
              <w:rPr>
                <w:color w:val="000000"/>
              </w:rPr>
            </w:pPr>
            <w:r>
              <w:rPr>
                <w:color w:val="000000"/>
              </w:rPr>
              <w:t>-</w:t>
            </w:r>
            <w:r w:rsidRPr="008E082E">
              <w:rPr>
                <w:color w:val="000000"/>
              </w:rPr>
              <w:t>0.026</w:t>
            </w:r>
          </w:p>
        </w:tc>
        <w:tc>
          <w:tcPr>
            <w:tcW w:w="0" w:type="auto"/>
            <w:tcBorders>
              <w:top w:val="nil"/>
              <w:left w:val="nil"/>
              <w:bottom w:val="nil"/>
              <w:right w:val="nil"/>
            </w:tcBorders>
            <w:shd w:val="clear" w:color="auto" w:fill="auto"/>
            <w:noWrap/>
            <w:vAlign w:val="bottom"/>
            <w:hideMark/>
          </w:tcPr>
          <w:p w:rsidR="00F85A66" w:rsidRPr="008E082E" w:rsidRDefault="00F85A66" w:rsidP="00532660">
            <w:pPr>
              <w:overflowPunct/>
              <w:autoSpaceDE/>
              <w:autoSpaceDN/>
              <w:adjustRightInd/>
              <w:ind w:left="-94"/>
              <w:textAlignment w:val="auto"/>
              <w:rPr>
                <w:color w:val="000000"/>
              </w:rPr>
            </w:pPr>
          </w:p>
        </w:tc>
        <w:tc>
          <w:tcPr>
            <w:tcW w:w="0" w:type="auto"/>
            <w:tcBorders>
              <w:top w:val="nil"/>
              <w:left w:val="nil"/>
              <w:bottom w:val="nil"/>
              <w:right w:val="nil"/>
            </w:tcBorders>
            <w:shd w:val="clear" w:color="auto" w:fill="auto"/>
            <w:noWrap/>
            <w:vAlign w:val="bottom"/>
            <w:hideMark/>
          </w:tcPr>
          <w:p w:rsidR="00F85A66" w:rsidRPr="008E082E" w:rsidRDefault="00F85A66" w:rsidP="000D4BF4">
            <w:pPr>
              <w:overflowPunct/>
              <w:autoSpaceDE/>
              <w:autoSpaceDN/>
              <w:adjustRightInd/>
              <w:textAlignment w:val="auto"/>
              <w:rPr>
                <w:color w:val="000000"/>
              </w:rPr>
            </w:pPr>
            <w:r>
              <w:rPr>
                <w:color w:val="000000"/>
              </w:rPr>
              <w:t>(-</w:t>
            </w:r>
            <w:r w:rsidRPr="008E082E">
              <w:rPr>
                <w:color w:val="000000"/>
              </w:rPr>
              <w:t>0.4</w:t>
            </w:r>
            <w:r>
              <w:rPr>
                <w:color w:val="000000"/>
              </w:rPr>
              <w:t>)</w:t>
            </w:r>
          </w:p>
        </w:tc>
        <w:tc>
          <w:tcPr>
            <w:tcW w:w="0" w:type="auto"/>
            <w:tcBorders>
              <w:top w:val="nil"/>
              <w:left w:val="nil"/>
              <w:bottom w:val="nil"/>
              <w:right w:val="nil"/>
            </w:tcBorders>
            <w:shd w:val="clear" w:color="auto" w:fill="auto"/>
            <w:noWrap/>
            <w:vAlign w:val="bottom"/>
            <w:hideMark/>
          </w:tcPr>
          <w:p w:rsidR="00F85A66" w:rsidRPr="008E082E" w:rsidRDefault="00F85A66" w:rsidP="00532660">
            <w:pPr>
              <w:overflowPunct/>
              <w:autoSpaceDE/>
              <w:autoSpaceDN/>
              <w:adjustRightInd/>
              <w:ind w:right="-60"/>
              <w:jc w:val="right"/>
              <w:textAlignment w:val="auto"/>
              <w:rPr>
                <w:color w:val="000000"/>
              </w:rPr>
            </w:pPr>
            <w:r w:rsidRPr="008E082E">
              <w:rPr>
                <w:color w:val="000000"/>
              </w:rPr>
              <w:t>0.095</w:t>
            </w:r>
          </w:p>
        </w:tc>
        <w:tc>
          <w:tcPr>
            <w:tcW w:w="0" w:type="auto"/>
            <w:tcBorders>
              <w:top w:val="nil"/>
              <w:left w:val="nil"/>
              <w:bottom w:val="nil"/>
              <w:right w:val="nil"/>
            </w:tcBorders>
            <w:shd w:val="clear" w:color="auto" w:fill="auto"/>
            <w:noWrap/>
            <w:vAlign w:val="bottom"/>
            <w:hideMark/>
          </w:tcPr>
          <w:p w:rsidR="00F85A66" w:rsidRPr="008E082E" w:rsidRDefault="00F85A66" w:rsidP="00532660">
            <w:pPr>
              <w:overflowPunct/>
              <w:autoSpaceDE/>
              <w:autoSpaceDN/>
              <w:adjustRightInd/>
              <w:ind w:left="-94"/>
              <w:textAlignment w:val="auto"/>
              <w:rPr>
                <w:color w:val="000000"/>
              </w:rPr>
            </w:pPr>
          </w:p>
        </w:tc>
        <w:tc>
          <w:tcPr>
            <w:tcW w:w="0" w:type="auto"/>
            <w:tcBorders>
              <w:top w:val="nil"/>
              <w:left w:val="nil"/>
              <w:bottom w:val="nil"/>
              <w:right w:val="nil"/>
            </w:tcBorders>
            <w:shd w:val="clear" w:color="auto" w:fill="auto"/>
            <w:noWrap/>
            <w:vAlign w:val="bottom"/>
            <w:hideMark/>
          </w:tcPr>
          <w:p w:rsidR="00F85A66" w:rsidRPr="008E082E" w:rsidRDefault="00F85A66" w:rsidP="000D4BF4">
            <w:pPr>
              <w:overflowPunct/>
              <w:autoSpaceDE/>
              <w:autoSpaceDN/>
              <w:adjustRightInd/>
              <w:textAlignment w:val="auto"/>
              <w:rPr>
                <w:color w:val="000000"/>
              </w:rPr>
            </w:pPr>
            <w:r>
              <w:rPr>
                <w:color w:val="000000"/>
              </w:rPr>
              <w:t>(</w:t>
            </w:r>
            <w:r w:rsidRPr="008E082E">
              <w:rPr>
                <w:color w:val="000000"/>
              </w:rPr>
              <w:t>1.3</w:t>
            </w:r>
            <w:r>
              <w:rPr>
                <w:color w:val="000000"/>
              </w:rPr>
              <w:t>)</w:t>
            </w:r>
          </w:p>
        </w:tc>
      </w:tr>
      <w:tr w:rsidR="00F85A66" w:rsidRPr="008E082E" w:rsidTr="00C902DA">
        <w:trPr>
          <w:trHeight w:val="20"/>
        </w:trPr>
        <w:tc>
          <w:tcPr>
            <w:tcW w:w="0" w:type="auto"/>
            <w:tcBorders>
              <w:top w:val="nil"/>
              <w:left w:val="nil"/>
              <w:right w:val="nil"/>
            </w:tcBorders>
            <w:shd w:val="clear" w:color="auto" w:fill="auto"/>
            <w:noWrap/>
            <w:vAlign w:val="bottom"/>
            <w:hideMark/>
          </w:tcPr>
          <w:p w:rsidR="00F85A66" w:rsidRPr="00F85A66" w:rsidRDefault="00F85A66" w:rsidP="008E082E">
            <w:pPr>
              <w:overflowPunct/>
              <w:autoSpaceDE/>
              <w:autoSpaceDN/>
              <w:adjustRightInd/>
              <w:textAlignment w:val="auto"/>
              <w:rPr>
                <w:color w:val="000000"/>
                <w:vertAlign w:val="subscript"/>
              </w:rPr>
            </w:pPr>
            <w:r w:rsidRPr="008E082E">
              <w:rPr>
                <w:color w:val="000000"/>
              </w:rPr>
              <w:t>(Baa - Aaa)</w:t>
            </w:r>
            <w:r>
              <w:rPr>
                <w:color w:val="000000"/>
                <w:vertAlign w:val="subscript"/>
              </w:rPr>
              <w:t>t-1</w:t>
            </w:r>
          </w:p>
        </w:tc>
        <w:tc>
          <w:tcPr>
            <w:tcW w:w="0" w:type="auto"/>
            <w:tcBorders>
              <w:top w:val="nil"/>
              <w:left w:val="nil"/>
              <w:right w:val="nil"/>
            </w:tcBorders>
            <w:shd w:val="clear" w:color="auto" w:fill="auto"/>
            <w:noWrap/>
            <w:vAlign w:val="bottom"/>
            <w:hideMark/>
          </w:tcPr>
          <w:p w:rsidR="00F85A66" w:rsidRPr="008E082E" w:rsidRDefault="00F85A66" w:rsidP="00532660">
            <w:pPr>
              <w:overflowPunct/>
              <w:autoSpaceDE/>
              <w:autoSpaceDN/>
              <w:adjustRightInd/>
              <w:ind w:right="-83"/>
              <w:jc w:val="right"/>
              <w:textAlignment w:val="auto"/>
              <w:rPr>
                <w:color w:val="000000"/>
              </w:rPr>
            </w:pPr>
            <w:r w:rsidRPr="008E082E">
              <w:rPr>
                <w:color w:val="000000"/>
              </w:rPr>
              <w:t>-0.011</w:t>
            </w:r>
          </w:p>
        </w:tc>
        <w:tc>
          <w:tcPr>
            <w:tcW w:w="0" w:type="auto"/>
            <w:tcBorders>
              <w:top w:val="nil"/>
              <w:left w:val="nil"/>
              <w:right w:val="nil"/>
            </w:tcBorders>
            <w:shd w:val="clear" w:color="auto" w:fill="auto"/>
            <w:noWrap/>
            <w:vAlign w:val="bottom"/>
            <w:hideMark/>
          </w:tcPr>
          <w:p w:rsidR="00F85A66" w:rsidRPr="008E082E" w:rsidRDefault="00F85A66" w:rsidP="00532660">
            <w:pPr>
              <w:overflowPunct/>
              <w:autoSpaceDE/>
              <w:autoSpaceDN/>
              <w:adjustRightInd/>
              <w:ind w:left="-43"/>
              <w:textAlignment w:val="auto"/>
              <w:rPr>
                <w:color w:val="000000"/>
              </w:rPr>
            </w:pPr>
          </w:p>
        </w:tc>
        <w:tc>
          <w:tcPr>
            <w:tcW w:w="0" w:type="auto"/>
            <w:tcBorders>
              <w:top w:val="nil"/>
              <w:left w:val="nil"/>
              <w:right w:val="nil"/>
            </w:tcBorders>
            <w:shd w:val="clear" w:color="auto" w:fill="auto"/>
            <w:noWrap/>
            <w:vAlign w:val="bottom"/>
            <w:hideMark/>
          </w:tcPr>
          <w:p w:rsidR="00F85A66" w:rsidRPr="008E082E" w:rsidRDefault="00F85A66" w:rsidP="000D4BF4">
            <w:pPr>
              <w:overflowPunct/>
              <w:autoSpaceDE/>
              <w:autoSpaceDN/>
              <w:adjustRightInd/>
              <w:textAlignment w:val="auto"/>
              <w:rPr>
                <w:color w:val="000000"/>
              </w:rPr>
            </w:pPr>
            <w:r>
              <w:rPr>
                <w:color w:val="000000"/>
              </w:rPr>
              <w:t>(</w:t>
            </w:r>
            <w:r w:rsidRPr="008E082E">
              <w:rPr>
                <w:color w:val="000000"/>
              </w:rPr>
              <w:t>-0.7</w:t>
            </w:r>
            <w:r>
              <w:rPr>
                <w:color w:val="000000"/>
              </w:rPr>
              <w:t>)</w:t>
            </w:r>
          </w:p>
        </w:tc>
        <w:tc>
          <w:tcPr>
            <w:tcW w:w="0" w:type="auto"/>
            <w:tcBorders>
              <w:top w:val="nil"/>
              <w:left w:val="nil"/>
              <w:right w:val="nil"/>
            </w:tcBorders>
            <w:shd w:val="clear" w:color="auto" w:fill="auto"/>
            <w:noWrap/>
            <w:vAlign w:val="bottom"/>
            <w:hideMark/>
          </w:tcPr>
          <w:p w:rsidR="00F85A66" w:rsidRPr="008E082E" w:rsidRDefault="00F85A66" w:rsidP="00532660">
            <w:pPr>
              <w:overflowPunct/>
              <w:autoSpaceDE/>
              <w:autoSpaceDN/>
              <w:adjustRightInd/>
              <w:ind w:right="-115"/>
              <w:jc w:val="right"/>
              <w:textAlignment w:val="auto"/>
              <w:rPr>
                <w:color w:val="000000"/>
              </w:rPr>
            </w:pPr>
            <w:r>
              <w:rPr>
                <w:color w:val="000000"/>
              </w:rPr>
              <w:t>-</w:t>
            </w:r>
            <w:r w:rsidRPr="008E082E">
              <w:rPr>
                <w:color w:val="000000"/>
              </w:rPr>
              <w:t>0.038</w:t>
            </w:r>
          </w:p>
        </w:tc>
        <w:tc>
          <w:tcPr>
            <w:tcW w:w="0" w:type="auto"/>
            <w:tcBorders>
              <w:top w:val="nil"/>
              <w:left w:val="nil"/>
              <w:right w:val="nil"/>
            </w:tcBorders>
            <w:shd w:val="clear" w:color="auto" w:fill="auto"/>
            <w:noWrap/>
            <w:vAlign w:val="bottom"/>
            <w:hideMark/>
          </w:tcPr>
          <w:p w:rsidR="00F85A66" w:rsidRPr="008E082E" w:rsidRDefault="00F85A66" w:rsidP="00532660">
            <w:pPr>
              <w:overflowPunct/>
              <w:autoSpaceDE/>
              <w:autoSpaceDN/>
              <w:adjustRightInd/>
              <w:ind w:left="-94"/>
              <w:textAlignment w:val="auto"/>
              <w:rPr>
                <w:color w:val="000000"/>
              </w:rPr>
            </w:pPr>
          </w:p>
        </w:tc>
        <w:tc>
          <w:tcPr>
            <w:tcW w:w="0" w:type="auto"/>
            <w:tcBorders>
              <w:top w:val="nil"/>
              <w:left w:val="nil"/>
              <w:right w:val="nil"/>
            </w:tcBorders>
            <w:shd w:val="clear" w:color="auto" w:fill="auto"/>
            <w:noWrap/>
            <w:vAlign w:val="bottom"/>
            <w:hideMark/>
          </w:tcPr>
          <w:p w:rsidR="00F85A66" w:rsidRPr="008E082E" w:rsidRDefault="00F85A66" w:rsidP="000D4BF4">
            <w:pPr>
              <w:overflowPunct/>
              <w:autoSpaceDE/>
              <w:autoSpaceDN/>
              <w:adjustRightInd/>
              <w:textAlignment w:val="auto"/>
              <w:rPr>
                <w:color w:val="000000"/>
              </w:rPr>
            </w:pPr>
            <w:r>
              <w:rPr>
                <w:color w:val="000000"/>
              </w:rPr>
              <w:t>(-</w:t>
            </w:r>
            <w:r w:rsidRPr="008E082E">
              <w:rPr>
                <w:color w:val="000000"/>
              </w:rPr>
              <w:t>0.7</w:t>
            </w:r>
            <w:r>
              <w:rPr>
                <w:color w:val="000000"/>
              </w:rPr>
              <w:t>)</w:t>
            </w:r>
          </w:p>
        </w:tc>
        <w:tc>
          <w:tcPr>
            <w:tcW w:w="0" w:type="auto"/>
            <w:tcBorders>
              <w:top w:val="nil"/>
              <w:left w:val="nil"/>
              <w:right w:val="nil"/>
            </w:tcBorders>
            <w:shd w:val="clear" w:color="auto" w:fill="auto"/>
            <w:noWrap/>
            <w:vAlign w:val="bottom"/>
            <w:hideMark/>
          </w:tcPr>
          <w:p w:rsidR="00F85A66" w:rsidRPr="008E082E" w:rsidRDefault="00F85A66" w:rsidP="00532660">
            <w:pPr>
              <w:overflowPunct/>
              <w:autoSpaceDE/>
              <w:autoSpaceDN/>
              <w:adjustRightInd/>
              <w:ind w:right="-60"/>
              <w:jc w:val="right"/>
              <w:textAlignment w:val="auto"/>
              <w:rPr>
                <w:color w:val="000000"/>
              </w:rPr>
            </w:pPr>
            <w:r w:rsidRPr="008E082E">
              <w:rPr>
                <w:color w:val="000000"/>
              </w:rPr>
              <w:t>-0.063</w:t>
            </w:r>
          </w:p>
        </w:tc>
        <w:tc>
          <w:tcPr>
            <w:tcW w:w="0" w:type="auto"/>
            <w:tcBorders>
              <w:top w:val="nil"/>
              <w:left w:val="nil"/>
              <w:right w:val="nil"/>
            </w:tcBorders>
            <w:shd w:val="clear" w:color="auto" w:fill="auto"/>
            <w:noWrap/>
            <w:vAlign w:val="bottom"/>
            <w:hideMark/>
          </w:tcPr>
          <w:p w:rsidR="00F85A66" w:rsidRPr="008E082E" w:rsidRDefault="00F85A66" w:rsidP="00532660">
            <w:pPr>
              <w:overflowPunct/>
              <w:autoSpaceDE/>
              <w:autoSpaceDN/>
              <w:adjustRightInd/>
              <w:ind w:left="-94"/>
              <w:textAlignment w:val="auto"/>
              <w:rPr>
                <w:color w:val="000000"/>
              </w:rPr>
            </w:pPr>
          </w:p>
        </w:tc>
        <w:tc>
          <w:tcPr>
            <w:tcW w:w="0" w:type="auto"/>
            <w:tcBorders>
              <w:top w:val="nil"/>
              <w:left w:val="nil"/>
              <w:right w:val="nil"/>
            </w:tcBorders>
            <w:shd w:val="clear" w:color="auto" w:fill="auto"/>
            <w:noWrap/>
            <w:vAlign w:val="bottom"/>
            <w:hideMark/>
          </w:tcPr>
          <w:p w:rsidR="00F85A66" w:rsidRPr="008E082E" w:rsidRDefault="00F85A66" w:rsidP="000D4BF4">
            <w:pPr>
              <w:overflowPunct/>
              <w:autoSpaceDE/>
              <w:autoSpaceDN/>
              <w:adjustRightInd/>
              <w:textAlignment w:val="auto"/>
              <w:rPr>
                <w:color w:val="000000"/>
              </w:rPr>
            </w:pPr>
            <w:r>
              <w:rPr>
                <w:color w:val="000000"/>
              </w:rPr>
              <w:t>(</w:t>
            </w:r>
            <w:r w:rsidRPr="008E082E">
              <w:rPr>
                <w:color w:val="000000"/>
              </w:rPr>
              <w:t>-1.0</w:t>
            </w:r>
            <w:r>
              <w:rPr>
                <w:color w:val="000000"/>
              </w:rPr>
              <w:t>)</w:t>
            </w:r>
          </w:p>
        </w:tc>
      </w:tr>
      <w:tr w:rsidR="00F85A66" w:rsidRPr="008E082E" w:rsidTr="00C902DA">
        <w:trPr>
          <w:trHeight w:val="20"/>
        </w:trPr>
        <w:tc>
          <w:tcPr>
            <w:tcW w:w="0" w:type="auto"/>
            <w:tcBorders>
              <w:top w:val="nil"/>
              <w:left w:val="nil"/>
              <w:bottom w:val="single" w:sz="12" w:space="0" w:color="auto"/>
              <w:right w:val="nil"/>
            </w:tcBorders>
            <w:shd w:val="clear" w:color="auto" w:fill="auto"/>
            <w:noWrap/>
            <w:vAlign w:val="bottom"/>
            <w:hideMark/>
          </w:tcPr>
          <w:p w:rsidR="00F85A66" w:rsidRPr="00F85A66" w:rsidRDefault="00F85A66" w:rsidP="00C902DA">
            <w:pPr>
              <w:overflowPunct/>
              <w:autoSpaceDE/>
              <w:autoSpaceDN/>
              <w:adjustRightInd/>
              <w:spacing w:after="60"/>
              <w:textAlignment w:val="auto"/>
              <w:rPr>
                <w:color w:val="000000"/>
                <w:vertAlign w:val="subscript"/>
              </w:rPr>
            </w:pPr>
            <w:r w:rsidRPr="008E082E">
              <w:rPr>
                <w:color w:val="000000"/>
              </w:rPr>
              <w:t>(10yr - 1yr)</w:t>
            </w:r>
            <w:r>
              <w:rPr>
                <w:color w:val="000000"/>
                <w:vertAlign w:val="subscript"/>
              </w:rPr>
              <w:t>t-1</w:t>
            </w:r>
          </w:p>
        </w:tc>
        <w:tc>
          <w:tcPr>
            <w:tcW w:w="0" w:type="auto"/>
            <w:tcBorders>
              <w:top w:val="nil"/>
              <w:left w:val="nil"/>
              <w:bottom w:val="single" w:sz="12" w:space="0" w:color="auto"/>
              <w:right w:val="nil"/>
            </w:tcBorders>
            <w:shd w:val="clear" w:color="auto" w:fill="auto"/>
            <w:noWrap/>
            <w:vAlign w:val="bottom"/>
            <w:hideMark/>
          </w:tcPr>
          <w:p w:rsidR="00F85A66" w:rsidRPr="008E082E" w:rsidRDefault="00F85A66" w:rsidP="00532660">
            <w:pPr>
              <w:overflowPunct/>
              <w:autoSpaceDE/>
              <w:autoSpaceDN/>
              <w:adjustRightInd/>
              <w:spacing w:after="60"/>
              <w:ind w:right="-83"/>
              <w:jc w:val="right"/>
              <w:textAlignment w:val="auto"/>
              <w:rPr>
                <w:color w:val="000000"/>
              </w:rPr>
            </w:pPr>
            <w:r w:rsidRPr="008E082E">
              <w:rPr>
                <w:color w:val="000000"/>
              </w:rPr>
              <w:t>0.035</w:t>
            </w:r>
          </w:p>
        </w:tc>
        <w:tc>
          <w:tcPr>
            <w:tcW w:w="0" w:type="auto"/>
            <w:tcBorders>
              <w:top w:val="nil"/>
              <w:left w:val="nil"/>
              <w:bottom w:val="single" w:sz="12" w:space="0" w:color="auto"/>
              <w:right w:val="nil"/>
            </w:tcBorders>
            <w:shd w:val="clear" w:color="auto" w:fill="auto"/>
            <w:noWrap/>
            <w:vAlign w:val="bottom"/>
            <w:hideMark/>
          </w:tcPr>
          <w:p w:rsidR="00F85A66" w:rsidRPr="008E082E" w:rsidRDefault="00F85A66" w:rsidP="00532660">
            <w:pPr>
              <w:overflowPunct/>
              <w:autoSpaceDE/>
              <w:autoSpaceDN/>
              <w:adjustRightInd/>
              <w:spacing w:after="60"/>
              <w:ind w:left="-43"/>
              <w:textAlignment w:val="auto"/>
              <w:rPr>
                <w:color w:val="000000"/>
              </w:rPr>
            </w:pPr>
            <w:r w:rsidRPr="008E082E">
              <w:rPr>
                <w:color w:val="000000"/>
                <w:vertAlign w:val="superscript"/>
              </w:rPr>
              <w:t>**</w:t>
            </w:r>
          </w:p>
        </w:tc>
        <w:tc>
          <w:tcPr>
            <w:tcW w:w="0" w:type="auto"/>
            <w:tcBorders>
              <w:top w:val="nil"/>
              <w:left w:val="nil"/>
              <w:bottom w:val="single" w:sz="12" w:space="0" w:color="auto"/>
              <w:right w:val="nil"/>
            </w:tcBorders>
            <w:shd w:val="clear" w:color="auto" w:fill="auto"/>
            <w:noWrap/>
            <w:vAlign w:val="bottom"/>
            <w:hideMark/>
          </w:tcPr>
          <w:p w:rsidR="00F85A66" w:rsidRPr="008E082E" w:rsidRDefault="00F85A66" w:rsidP="000D4BF4">
            <w:pPr>
              <w:overflowPunct/>
              <w:autoSpaceDE/>
              <w:autoSpaceDN/>
              <w:adjustRightInd/>
              <w:spacing w:after="60"/>
              <w:textAlignment w:val="auto"/>
              <w:rPr>
                <w:color w:val="000000"/>
              </w:rPr>
            </w:pPr>
            <w:r>
              <w:rPr>
                <w:color w:val="000000"/>
              </w:rPr>
              <w:t>(</w:t>
            </w:r>
            <w:r w:rsidRPr="008E082E">
              <w:rPr>
                <w:color w:val="000000"/>
              </w:rPr>
              <w:t>2.1</w:t>
            </w:r>
            <w:r>
              <w:rPr>
                <w:color w:val="000000"/>
              </w:rPr>
              <w:t>)</w:t>
            </w:r>
          </w:p>
        </w:tc>
        <w:tc>
          <w:tcPr>
            <w:tcW w:w="0" w:type="auto"/>
            <w:tcBorders>
              <w:top w:val="nil"/>
              <w:left w:val="nil"/>
              <w:bottom w:val="single" w:sz="12" w:space="0" w:color="auto"/>
              <w:right w:val="nil"/>
            </w:tcBorders>
            <w:shd w:val="clear" w:color="auto" w:fill="auto"/>
            <w:noWrap/>
            <w:vAlign w:val="bottom"/>
            <w:hideMark/>
          </w:tcPr>
          <w:p w:rsidR="00F85A66" w:rsidRPr="008E082E" w:rsidRDefault="00F85A66" w:rsidP="00532660">
            <w:pPr>
              <w:overflowPunct/>
              <w:autoSpaceDE/>
              <w:autoSpaceDN/>
              <w:adjustRightInd/>
              <w:spacing w:after="60"/>
              <w:ind w:right="-115"/>
              <w:jc w:val="right"/>
              <w:textAlignment w:val="auto"/>
              <w:rPr>
                <w:color w:val="000000"/>
              </w:rPr>
            </w:pPr>
            <w:r>
              <w:rPr>
                <w:color w:val="000000"/>
              </w:rPr>
              <w:t>-</w:t>
            </w:r>
            <w:r w:rsidRPr="008E082E">
              <w:rPr>
                <w:color w:val="000000"/>
              </w:rPr>
              <w:t>0.001</w:t>
            </w:r>
          </w:p>
        </w:tc>
        <w:tc>
          <w:tcPr>
            <w:tcW w:w="0" w:type="auto"/>
            <w:tcBorders>
              <w:top w:val="nil"/>
              <w:left w:val="nil"/>
              <w:bottom w:val="single" w:sz="12" w:space="0" w:color="auto"/>
              <w:right w:val="nil"/>
            </w:tcBorders>
            <w:shd w:val="clear" w:color="auto" w:fill="auto"/>
            <w:noWrap/>
            <w:vAlign w:val="bottom"/>
            <w:hideMark/>
          </w:tcPr>
          <w:p w:rsidR="00F85A66" w:rsidRPr="008E082E" w:rsidRDefault="00F85A66" w:rsidP="00532660">
            <w:pPr>
              <w:overflowPunct/>
              <w:autoSpaceDE/>
              <w:autoSpaceDN/>
              <w:adjustRightInd/>
              <w:spacing w:after="60"/>
              <w:ind w:left="-94"/>
              <w:textAlignment w:val="auto"/>
              <w:rPr>
                <w:color w:val="000000"/>
              </w:rPr>
            </w:pPr>
            <w:r w:rsidRPr="008E082E">
              <w:rPr>
                <w:color w:val="000000"/>
              </w:rPr>
              <w:t> </w:t>
            </w:r>
          </w:p>
        </w:tc>
        <w:tc>
          <w:tcPr>
            <w:tcW w:w="0" w:type="auto"/>
            <w:tcBorders>
              <w:top w:val="nil"/>
              <w:left w:val="nil"/>
              <w:bottom w:val="single" w:sz="12" w:space="0" w:color="auto"/>
              <w:right w:val="nil"/>
            </w:tcBorders>
            <w:shd w:val="clear" w:color="auto" w:fill="auto"/>
            <w:noWrap/>
            <w:vAlign w:val="bottom"/>
            <w:hideMark/>
          </w:tcPr>
          <w:p w:rsidR="00F85A66" w:rsidRPr="008E082E" w:rsidRDefault="00F85A66" w:rsidP="000D4BF4">
            <w:pPr>
              <w:overflowPunct/>
              <w:autoSpaceDE/>
              <w:autoSpaceDN/>
              <w:adjustRightInd/>
              <w:spacing w:after="60"/>
              <w:textAlignment w:val="auto"/>
              <w:rPr>
                <w:color w:val="000000"/>
              </w:rPr>
            </w:pPr>
            <w:r>
              <w:rPr>
                <w:color w:val="000000"/>
              </w:rPr>
              <w:t>(</w:t>
            </w:r>
            <w:r w:rsidRPr="008E082E">
              <w:rPr>
                <w:color w:val="000000"/>
              </w:rPr>
              <w:t>0.0</w:t>
            </w:r>
            <w:r>
              <w:rPr>
                <w:color w:val="000000"/>
              </w:rPr>
              <w:t>)</w:t>
            </w:r>
          </w:p>
        </w:tc>
        <w:tc>
          <w:tcPr>
            <w:tcW w:w="0" w:type="auto"/>
            <w:tcBorders>
              <w:top w:val="nil"/>
              <w:left w:val="nil"/>
              <w:bottom w:val="single" w:sz="12" w:space="0" w:color="auto"/>
              <w:right w:val="nil"/>
            </w:tcBorders>
            <w:shd w:val="clear" w:color="auto" w:fill="auto"/>
            <w:noWrap/>
            <w:vAlign w:val="bottom"/>
            <w:hideMark/>
          </w:tcPr>
          <w:p w:rsidR="00F85A66" w:rsidRPr="008E082E" w:rsidRDefault="00F85A66" w:rsidP="00532660">
            <w:pPr>
              <w:overflowPunct/>
              <w:autoSpaceDE/>
              <w:autoSpaceDN/>
              <w:adjustRightInd/>
              <w:spacing w:after="60"/>
              <w:ind w:right="-60"/>
              <w:jc w:val="right"/>
              <w:textAlignment w:val="auto"/>
              <w:rPr>
                <w:color w:val="000000"/>
              </w:rPr>
            </w:pPr>
            <w:r w:rsidRPr="008E082E">
              <w:rPr>
                <w:color w:val="000000"/>
              </w:rPr>
              <w:t>-0.090</w:t>
            </w:r>
          </w:p>
        </w:tc>
        <w:tc>
          <w:tcPr>
            <w:tcW w:w="0" w:type="auto"/>
            <w:tcBorders>
              <w:top w:val="nil"/>
              <w:left w:val="nil"/>
              <w:bottom w:val="single" w:sz="12" w:space="0" w:color="auto"/>
              <w:right w:val="nil"/>
            </w:tcBorders>
            <w:shd w:val="clear" w:color="auto" w:fill="auto"/>
            <w:noWrap/>
            <w:vAlign w:val="bottom"/>
            <w:hideMark/>
          </w:tcPr>
          <w:p w:rsidR="00F85A66" w:rsidRPr="008E082E" w:rsidRDefault="00F85A66" w:rsidP="00532660">
            <w:pPr>
              <w:overflowPunct/>
              <w:autoSpaceDE/>
              <w:autoSpaceDN/>
              <w:adjustRightInd/>
              <w:spacing w:after="60"/>
              <w:ind w:left="-94"/>
              <w:textAlignment w:val="auto"/>
              <w:rPr>
                <w:color w:val="000000"/>
              </w:rPr>
            </w:pPr>
            <w:r w:rsidRPr="008E082E">
              <w:rPr>
                <w:color w:val="000000"/>
              </w:rPr>
              <w:t> </w:t>
            </w:r>
          </w:p>
        </w:tc>
        <w:tc>
          <w:tcPr>
            <w:tcW w:w="0" w:type="auto"/>
            <w:tcBorders>
              <w:top w:val="nil"/>
              <w:left w:val="nil"/>
              <w:bottom w:val="single" w:sz="12" w:space="0" w:color="auto"/>
              <w:right w:val="nil"/>
            </w:tcBorders>
            <w:shd w:val="clear" w:color="auto" w:fill="auto"/>
            <w:noWrap/>
            <w:vAlign w:val="bottom"/>
            <w:hideMark/>
          </w:tcPr>
          <w:p w:rsidR="00F85A66" w:rsidRPr="008E082E" w:rsidRDefault="00F85A66" w:rsidP="000D4BF4">
            <w:pPr>
              <w:overflowPunct/>
              <w:autoSpaceDE/>
              <w:autoSpaceDN/>
              <w:adjustRightInd/>
              <w:spacing w:after="60"/>
              <w:textAlignment w:val="auto"/>
              <w:rPr>
                <w:color w:val="000000"/>
              </w:rPr>
            </w:pPr>
            <w:r>
              <w:rPr>
                <w:color w:val="000000"/>
              </w:rPr>
              <w:t>(</w:t>
            </w:r>
            <w:r w:rsidRPr="008E082E">
              <w:rPr>
                <w:color w:val="000000"/>
              </w:rPr>
              <w:t>-1.3</w:t>
            </w:r>
            <w:r>
              <w:rPr>
                <w:color w:val="000000"/>
              </w:rPr>
              <w:t>)</w:t>
            </w:r>
          </w:p>
        </w:tc>
      </w:tr>
    </w:tbl>
    <w:p w:rsidR="00F244ED" w:rsidRDefault="00F85A66" w:rsidP="00F85A66">
      <w:pPr>
        <w:overflowPunct/>
        <w:autoSpaceDE/>
        <w:autoSpaceDN/>
        <w:adjustRightInd/>
        <w:spacing w:before="120" w:line="216" w:lineRule="auto"/>
        <w:ind w:right="1350"/>
        <w:jc w:val="both"/>
        <w:textAlignment w:val="auto"/>
      </w:pPr>
      <w:r w:rsidRPr="001B687A">
        <w:rPr>
          <w:i/>
        </w:rPr>
        <w:t>Notes:</w:t>
      </w:r>
      <w:r w:rsidRPr="001B687A">
        <w:t xml:space="preserve"> This table presents </w:t>
      </w:r>
      <w:r>
        <w:t>results from two versions of the vector autoregressive model with three endogenous variables (VAR:3). The three endogenous variables are Income Returns, Capital Gains, and CRE Tightening – with results displayed sequentially from left-to-right. Panel A presents results from the first specification, where only endogenous variables are included. Panel B presents results from the model that also includes a set of exogenous controls for Baa rates, the Fama–French factors, the credit spread, and the yield curve. The table displays the estimated coefficients (Coef), along with the corresponding t-statistic in parentheses. All variables are defined in the notes to Table 1</w:t>
      </w:r>
      <w:r w:rsidR="00F044F4">
        <w:t>, except CRE Lending Index</w:t>
      </w:r>
      <w:r>
        <w:t>.</w:t>
      </w:r>
      <w:r w:rsidR="00F044F4">
        <w:t xml:space="preserve"> </w:t>
      </w:r>
      <w:r w:rsidR="00F044F4" w:rsidRPr="00F244ED">
        <w:t>CRE Lending Index is</w:t>
      </w:r>
      <w:r w:rsidR="00F244ED" w:rsidRPr="00F244ED">
        <w:t xml:space="preserve"> constructed from the principal components of the following </w:t>
      </w:r>
      <w:r w:rsidR="00F24D6F">
        <w:t xml:space="preserve">four </w:t>
      </w:r>
      <w:r w:rsidR="00F244ED" w:rsidRPr="00F244ED">
        <w:t>underwriting measures: Relative Tightening, CRE Tightening, Volume, and CRE Mtg Flows.</w:t>
      </w:r>
      <w:r>
        <w:t xml:space="preserve"> </w:t>
      </w:r>
      <w:r w:rsidRPr="001B687A">
        <w:rPr>
          <w:vertAlign w:val="superscript"/>
        </w:rPr>
        <w:t>***</w:t>
      </w:r>
      <w:r>
        <w:t xml:space="preserve">, </w:t>
      </w:r>
      <w:r w:rsidRPr="001B687A">
        <w:rPr>
          <w:vertAlign w:val="superscript"/>
        </w:rPr>
        <w:t>**</w:t>
      </w:r>
      <w:r>
        <w:t xml:space="preserve">, and </w:t>
      </w:r>
      <w:r w:rsidRPr="001B687A">
        <w:rPr>
          <w:vertAlign w:val="superscript"/>
        </w:rPr>
        <w:t>*</w:t>
      </w:r>
      <w:r>
        <w:t xml:space="preserve"> indicate statistically significant coefficients at the 1%, 5%, and 10% levels respectively. </w:t>
      </w:r>
    </w:p>
    <w:p w:rsidR="00F244ED" w:rsidRDefault="00F244ED">
      <w:pPr>
        <w:overflowPunct/>
        <w:autoSpaceDE/>
        <w:autoSpaceDN/>
        <w:adjustRightInd/>
        <w:spacing w:after="200" w:line="276" w:lineRule="auto"/>
        <w:textAlignment w:val="auto"/>
        <w:rPr>
          <w:b/>
          <w:sz w:val="22"/>
          <w:szCs w:val="22"/>
        </w:rPr>
      </w:pPr>
      <w:r>
        <w:rPr>
          <w:b/>
          <w:sz w:val="22"/>
          <w:szCs w:val="22"/>
        </w:rPr>
        <w:br w:type="page"/>
      </w:r>
    </w:p>
    <w:p w:rsidR="006D3AA2" w:rsidRDefault="006D3AA2" w:rsidP="006D3AA2">
      <w:pPr>
        <w:overflowPunct/>
        <w:autoSpaceDE/>
        <w:autoSpaceDN/>
        <w:adjustRightInd/>
        <w:spacing w:after="200" w:line="276" w:lineRule="auto"/>
        <w:textAlignment w:val="auto"/>
        <w:rPr>
          <w:sz w:val="22"/>
          <w:szCs w:val="22"/>
        </w:rPr>
      </w:pPr>
      <w:r w:rsidRPr="006D3AA2">
        <w:rPr>
          <w:b/>
          <w:sz w:val="22"/>
          <w:szCs w:val="22"/>
        </w:rPr>
        <w:t xml:space="preserve">Table </w:t>
      </w:r>
      <w:r w:rsidR="003B2A07">
        <w:rPr>
          <w:b/>
          <w:sz w:val="22"/>
          <w:szCs w:val="22"/>
        </w:rPr>
        <w:t>6</w:t>
      </w:r>
      <w:r w:rsidRPr="006D3AA2">
        <w:rPr>
          <w:b/>
          <w:sz w:val="22"/>
          <w:szCs w:val="22"/>
        </w:rPr>
        <w:t xml:space="preserve">.  </w:t>
      </w:r>
      <w:r>
        <w:rPr>
          <w:sz w:val="22"/>
          <w:szCs w:val="22"/>
        </w:rPr>
        <w:t>Variance decomposition</w:t>
      </w:r>
      <w:r w:rsidR="00C952FD">
        <w:rPr>
          <w:sz w:val="22"/>
          <w:szCs w:val="22"/>
        </w:rPr>
        <w:t>s</w:t>
      </w:r>
    </w:p>
    <w:tbl>
      <w:tblPr>
        <w:tblW w:w="9004" w:type="dxa"/>
        <w:tblInd w:w="93" w:type="dxa"/>
        <w:tblLook w:val="04A0"/>
      </w:tblPr>
      <w:tblGrid>
        <w:gridCol w:w="1958"/>
        <w:gridCol w:w="589"/>
        <w:gridCol w:w="589"/>
        <w:gridCol w:w="589"/>
        <w:gridCol w:w="598"/>
        <w:gridCol w:w="598"/>
        <w:gridCol w:w="598"/>
        <w:gridCol w:w="589"/>
        <w:gridCol w:w="589"/>
        <w:gridCol w:w="589"/>
        <w:gridCol w:w="583"/>
        <w:gridCol w:w="583"/>
        <w:gridCol w:w="583"/>
      </w:tblGrid>
      <w:tr w:rsidR="005E41EB" w:rsidRPr="005E41EB" w:rsidTr="00F044F4">
        <w:trPr>
          <w:trHeight w:val="20"/>
        </w:trPr>
        <w:tc>
          <w:tcPr>
            <w:tcW w:w="7255" w:type="dxa"/>
            <w:gridSpan w:val="10"/>
            <w:tcBorders>
              <w:top w:val="single" w:sz="12" w:space="0" w:color="auto"/>
              <w:left w:val="nil"/>
              <w:bottom w:val="nil"/>
              <w:right w:val="nil"/>
            </w:tcBorders>
            <w:shd w:val="clear" w:color="auto" w:fill="auto"/>
            <w:noWrap/>
            <w:vAlign w:val="bottom"/>
            <w:hideMark/>
          </w:tcPr>
          <w:p w:rsidR="005E41EB" w:rsidRPr="005E41EB" w:rsidRDefault="005E41EB" w:rsidP="005E41EB">
            <w:pPr>
              <w:overflowPunct/>
              <w:autoSpaceDE/>
              <w:autoSpaceDN/>
              <w:adjustRightInd/>
              <w:spacing w:before="80"/>
              <w:textAlignment w:val="auto"/>
              <w:rPr>
                <w:color w:val="000000"/>
              </w:rPr>
            </w:pPr>
            <w:r w:rsidRPr="005E41EB">
              <w:rPr>
                <w:b/>
                <w:bCs/>
                <w:color w:val="000000"/>
              </w:rPr>
              <w:t xml:space="preserve">Panel A. </w:t>
            </w:r>
            <w:r w:rsidRPr="005E41EB">
              <w:rPr>
                <w:color w:val="000000"/>
              </w:rPr>
              <w:t xml:space="preserve"> VECM</w:t>
            </w:r>
          </w:p>
        </w:tc>
        <w:tc>
          <w:tcPr>
            <w:tcW w:w="0" w:type="auto"/>
            <w:tcBorders>
              <w:top w:val="nil"/>
              <w:left w:val="nil"/>
              <w:bottom w:val="nil"/>
              <w:right w:val="nil"/>
            </w:tcBorders>
            <w:shd w:val="clear" w:color="auto" w:fill="auto"/>
            <w:noWrap/>
            <w:vAlign w:val="bottom"/>
            <w:hideMark/>
          </w:tcPr>
          <w:p w:rsidR="005E41EB" w:rsidRPr="005E41EB" w:rsidRDefault="005E41EB" w:rsidP="005E41EB">
            <w:pPr>
              <w:overflowPunct/>
              <w:autoSpaceDE/>
              <w:autoSpaceDN/>
              <w:adjustRightInd/>
              <w:textAlignment w:val="auto"/>
              <w:rPr>
                <w:color w:val="000000"/>
              </w:rPr>
            </w:pPr>
          </w:p>
        </w:tc>
        <w:tc>
          <w:tcPr>
            <w:tcW w:w="0" w:type="auto"/>
            <w:tcBorders>
              <w:top w:val="nil"/>
              <w:left w:val="nil"/>
              <w:bottom w:val="nil"/>
              <w:right w:val="nil"/>
            </w:tcBorders>
            <w:shd w:val="clear" w:color="auto" w:fill="auto"/>
            <w:noWrap/>
            <w:vAlign w:val="bottom"/>
            <w:hideMark/>
          </w:tcPr>
          <w:p w:rsidR="005E41EB" w:rsidRPr="005E41EB" w:rsidRDefault="005E41EB" w:rsidP="005E41EB">
            <w:pPr>
              <w:overflowPunct/>
              <w:autoSpaceDE/>
              <w:autoSpaceDN/>
              <w:adjustRightInd/>
              <w:textAlignment w:val="auto"/>
              <w:rPr>
                <w:color w:val="000000"/>
              </w:rPr>
            </w:pPr>
          </w:p>
        </w:tc>
        <w:tc>
          <w:tcPr>
            <w:tcW w:w="0" w:type="auto"/>
            <w:tcBorders>
              <w:top w:val="nil"/>
              <w:left w:val="nil"/>
              <w:bottom w:val="nil"/>
              <w:right w:val="nil"/>
            </w:tcBorders>
            <w:shd w:val="clear" w:color="auto" w:fill="auto"/>
            <w:noWrap/>
            <w:vAlign w:val="bottom"/>
            <w:hideMark/>
          </w:tcPr>
          <w:p w:rsidR="005E41EB" w:rsidRPr="005E41EB" w:rsidRDefault="005E41EB" w:rsidP="005E41EB">
            <w:pPr>
              <w:overflowPunct/>
              <w:autoSpaceDE/>
              <w:autoSpaceDN/>
              <w:adjustRightInd/>
              <w:textAlignment w:val="auto"/>
              <w:rPr>
                <w:color w:val="000000"/>
              </w:rPr>
            </w:pPr>
          </w:p>
        </w:tc>
      </w:tr>
      <w:tr w:rsidR="005E41EB" w:rsidRPr="005E41EB" w:rsidTr="00F044F4">
        <w:trPr>
          <w:trHeight w:val="20"/>
        </w:trPr>
        <w:tc>
          <w:tcPr>
            <w:tcW w:w="1939" w:type="dxa"/>
            <w:tcBorders>
              <w:top w:val="nil"/>
              <w:left w:val="nil"/>
              <w:bottom w:val="nil"/>
              <w:right w:val="nil"/>
            </w:tcBorders>
            <w:shd w:val="clear" w:color="auto" w:fill="auto"/>
            <w:noWrap/>
            <w:vAlign w:val="bottom"/>
            <w:hideMark/>
          </w:tcPr>
          <w:p w:rsidR="005E41EB" w:rsidRPr="005E41EB" w:rsidRDefault="005E41EB" w:rsidP="005E41EB">
            <w:pPr>
              <w:overflowPunct/>
              <w:autoSpaceDE/>
              <w:autoSpaceDN/>
              <w:adjustRightInd/>
              <w:jc w:val="right"/>
              <w:textAlignment w:val="auto"/>
              <w:rPr>
                <w:i/>
                <w:color w:val="000000"/>
              </w:rPr>
            </w:pPr>
            <w:r w:rsidRPr="005E41EB">
              <w:rPr>
                <w:i/>
                <w:color w:val="000000"/>
              </w:rPr>
              <w:t>Variance of:</w:t>
            </w:r>
          </w:p>
        </w:tc>
        <w:tc>
          <w:tcPr>
            <w:tcW w:w="0" w:type="auto"/>
            <w:gridSpan w:val="3"/>
            <w:tcBorders>
              <w:top w:val="nil"/>
              <w:left w:val="nil"/>
              <w:bottom w:val="nil"/>
              <w:right w:val="nil"/>
            </w:tcBorders>
            <w:shd w:val="clear" w:color="auto" w:fill="auto"/>
            <w:noWrap/>
            <w:vAlign w:val="bottom"/>
            <w:hideMark/>
          </w:tcPr>
          <w:p w:rsidR="005E41EB" w:rsidRPr="005E41EB" w:rsidRDefault="005E41EB" w:rsidP="005E41EB">
            <w:pPr>
              <w:overflowPunct/>
              <w:autoSpaceDE/>
              <w:autoSpaceDN/>
              <w:adjustRightInd/>
              <w:jc w:val="center"/>
              <w:textAlignment w:val="auto"/>
              <w:rPr>
                <w:i/>
                <w:iCs/>
                <w:color w:val="000000"/>
              </w:rPr>
            </w:pPr>
            <w:r w:rsidRPr="005E41EB">
              <w:rPr>
                <w:i/>
                <w:iCs/>
                <w:color w:val="000000"/>
              </w:rPr>
              <w:t>Income Returns</w:t>
            </w:r>
          </w:p>
        </w:tc>
        <w:tc>
          <w:tcPr>
            <w:tcW w:w="0" w:type="auto"/>
            <w:gridSpan w:val="3"/>
            <w:tcBorders>
              <w:top w:val="nil"/>
              <w:left w:val="nil"/>
              <w:bottom w:val="nil"/>
              <w:right w:val="nil"/>
            </w:tcBorders>
            <w:shd w:val="clear" w:color="auto" w:fill="auto"/>
            <w:noWrap/>
            <w:vAlign w:val="bottom"/>
            <w:hideMark/>
          </w:tcPr>
          <w:p w:rsidR="005E41EB" w:rsidRPr="005E41EB" w:rsidRDefault="005E41EB" w:rsidP="005E41EB">
            <w:pPr>
              <w:overflowPunct/>
              <w:autoSpaceDE/>
              <w:autoSpaceDN/>
              <w:adjustRightInd/>
              <w:jc w:val="center"/>
              <w:textAlignment w:val="auto"/>
              <w:rPr>
                <w:i/>
                <w:iCs/>
                <w:color w:val="000000"/>
              </w:rPr>
            </w:pPr>
            <w:r w:rsidRPr="005E41EB">
              <w:rPr>
                <w:i/>
                <w:iCs/>
                <w:color w:val="000000"/>
              </w:rPr>
              <w:t xml:space="preserve">CRE </w:t>
            </w:r>
            <w:r>
              <w:rPr>
                <w:i/>
                <w:iCs/>
                <w:color w:val="000000"/>
              </w:rPr>
              <w:t>T</w:t>
            </w:r>
            <w:r w:rsidRPr="005E41EB">
              <w:rPr>
                <w:i/>
                <w:iCs/>
                <w:color w:val="000000"/>
              </w:rPr>
              <w:t>ightening</w:t>
            </w:r>
          </w:p>
        </w:tc>
        <w:tc>
          <w:tcPr>
            <w:tcW w:w="0" w:type="auto"/>
            <w:gridSpan w:val="3"/>
            <w:tcBorders>
              <w:top w:val="nil"/>
              <w:left w:val="nil"/>
              <w:bottom w:val="nil"/>
              <w:right w:val="nil"/>
            </w:tcBorders>
            <w:shd w:val="clear" w:color="auto" w:fill="auto"/>
            <w:noWrap/>
            <w:vAlign w:val="bottom"/>
            <w:hideMark/>
          </w:tcPr>
          <w:p w:rsidR="005E41EB" w:rsidRPr="005E41EB" w:rsidRDefault="005E41EB" w:rsidP="005E41EB">
            <w:pPr>
              <w:overflowPunct/>
              <w:autoSpaceDE/>
              <w:autoSpaceDN/>
              <w:adjustRightInd/>
              <w:jc w:val="center"/>
              <w:textAlignment w:val="auto"/>
              <w:rPr>
                <w:i/>
                <w:iCs/>
                <w:color w:val="000000"/>
              </w:rPr>
            </w:pPr>
            <w:r w:rsidRPr="005E41EB">
              <w:rPr>
                <w:i/>
                <w:iCs/>
                <w:color w:val="000000"/>
              </w:rPr>
              <w:t xml:space="preserve">Capital </w:t>
            </w:r>
            <w:r>
              <w:rPr>
                <w:i/>
                <w:iCs/>
                <w:color w:val="000000"/>
              </w:rPr>
              <w:t>G</w:t>
            </w:r>
            <w:r w:rsidRPr="005E41EB">
              <w:rPr>
                <w:i/>
                <w:iCs/>
                <w:color w:val="000000"/>
              </w:rPr>
              <w:t>ains</w:t>
            </w:r>
          </w:p>
        </w:tc>
        <w:tc>
          <w:tcPr>
            <w:tcW w:w="0" w:type="auto"/>
            <w:tcBorders>
              <w:top w:val="nil"/>
              <w:left w:val="nil"/>
              <w:bottom w:val="nil"/>
              <w:right w:val="nil"/>
            </w:tcBorders>
            <w:shd w:val="clear" w:color="auto" w:fill="auto"/>
            <w:noWrap/>
            <w:vAlign w:val="bottom"/>
            <w:hideMark/>
          </w:tcPr>
          <w:p w:rsidR="005E41EB" w:rsidRPr="005E41EB" w:rsidRDefault="005E41EB" w:rsidP="005E41EB">
            <w:pPr>
              <w:overflowPunct/>
              <w:autoSpaceDE/>
              <w:autoSpaceDN/>
              <w:adjustRightInd/>
              <w:textAlignment w:val="auto"/>
              <w:rPr>
                <w:color w:val="000000"/>
              </w:rPr>
            </w:pPr>
          </w:p>
        </w:tc>
        <w:tc>
          <w:tcPr>
            <w:tcW w:w="0" w:type="auto"/>
            <w:tcBorders>
              <w:top w:val="nil"/>
              <w:left w:val="nil"/>
              <w:bottom w:val="nil"/>
              <w:right w:val="nil"/>
            </w:tcBorders>
            <w:shd w:val="clear" w:color="auto" w:fill="auto"/>
            <w:noWrap/>
            <w:vAlign w:val="bottom"/>
            <w:hideMark/>
          </w:tcPr>
          <w:p w:rsidR="005E41EB" w:rsidRPr="005E41EB" w:rsidRDefault="005E41EB" w:rsidP="005E41EB">
            <w:pPr>
              <w:overflowPunct/>
              <w:autoSpaceDE/>
              <w:autoSpaceDN/>
              <w:adjustRightInd/>
              <w:textAlignment w:val="auto"/>
              <w:rPr>
                <w:color w:val="000000"/>
              </w:rPr>
            </w:pPr>
          </w:p>
        </w:tc>
        <w:tc>
          <w:tcPr>
            <w:tcW w:w="0" w:type="auto"/>
            <w:tcBorders>
              <w:top w:val="nil"/>
              <w:left w:val="nil"/>
              <w:bottom w:val="nil"/>
              <w:right w:val="nil"/>
            </w:tcBorders>
            <w:shd w:val="clear" w:color="auto" w:fill="auto"/>
            <w:noWrap/>
            <w:vAlign w:val="bottom"/>
            <w:hideMark/>
          </w:tcPr>
          <w:p w:rsidR="005E41EB" w:rsidRPr="005E41EB" w:rsidRDefault="005E41EB" w:rsidP="005E41EB">
            <w:pPr>
              <w:overflowPunct/>
              <w:autoSpaceDE/>
              <w:autoSpaceDN/>
              <w:adjustRightInd/>
              <w:textAlignment w:val="auto"/>
              <w:rPr>
                <w:color w:val="000000"/>
              </w:rPr>
            </w:pPr>
          </w:p>
        </w:tc>
      </w:tr>
      <w:tr w:rsidR="005E41EB" w:rsidRPr="005E41EB" w:rsidTr="00F044F4">
        <w:trPr>
          <w:trHeight w:val="20"/>
        </w:trPr>
        <w:tc>
          <w:tcPr>
            <w:tcW w:w="1939" w:type="dxa"/>
            <w:tcBorders>
              <w:top w:val="nil"/>
              <w:left w:val="nil"/>
              <w:bottom w:val="double" w:sz="6" w:space="0" w:color="auto"/>
              <w:right w:val="nil"/>
            </w:tcBorders>
            <w:shd w:val="clear" w:color="auto" w:fill="auto"/>
            <w:noWrap/>
            <w:vAlign w:val="bottom"/>
            <w:hideMark/>
          </w:tcPr>
          <w:p w:rsidR="005E41EB" w:rsidRPr="005E41EB" w:rsidRDefault="00C902DA" w:rsidP="00C902DA">
            <w:pPr>
              <w:overflowPunct/>
              <w:autoSpaceDE/>
              <w:autoSpaceDN/>
              <w:adjustRightInd/>
              <w:jc w:val="right"/>
              <w:textAlignment w:val="auto"/>
              <w:rPr>
                <w:color w:val="000000"/>
              </w:rPr>
            </w:pPr>
            <w:r>
              <w:rPr>
                <w:color w:val="000000"/>
              </w:rPr>
              <w:t>Forecast period:</w:t>
            </w:r>
          </w:p>
        </w:tc>
        <w:tc>
          <w:tcPr>
            <w:tcW w:w="0" w:type="auto"/>
            <w:tcBorders>
              <w:top w:val="nil"/>
              <w:left w:val="nil"/>
              <w:bottom w:val="double" w:sz="6" w:space="0" w:color="auto"/>
              <w:right w:val="nil"/>
            </w:tcBorders>
            <w:shd w:val="clear" w:color="auto" w:fill="auto"/>
            <w:noWrap/>
            <w:vAlign w:val="bottom"/>
            <w:hideMark/>
          </w:tcPr>
          <w:p w:rsidR="005E41EB" w:rsidRPr="005E41EB" w:rsidRDefault="005E41EB" w:rsidP="005E41EB">
            <w:pPr>
              <w:overflowPunct/>
              <w:autoSpaceDE/>
              <w:autoSpaceDN/>
              <w:adjustRightInd/>
              <w:jc w:val="center"/>
              <w:textAlignment w:val="auto"/>
              <w:rPr>
                <w:color w:val="000000"/>
              </w:rPr>
            </w:pPr>
            <w:r w:rsidRPr="005E41EB">
              <w:rPr>
                <w:color w:val="000000"/>
              </w:rPr>
              <w:t>4</w:t>
            </w:r>
          </w:p>
        </w:tc>
        <w:tc>
          <w:tcPr>
            <w:tcW w:w="0" w:type="auto"/>
            <w:tcBorders>
              <w:top w:val="nil"/>
              <w:left w:val="nil"/>
              <w:bottom w:val="double" w:sz="6" w:space="0" w:color="auto"/>
              <w:right w:val="nil"/>
            </w:tcBorders>
            <w:shd w:val="clear" w:color="auto" w:fill="auto"/>
            <w:noWrap/>
            <w:vAlign w:val="bottom"/>
            <w:hideMark/>
          </w:tcPr>
          <w:p w:rsidR="005E41EB" w:rsidRPr="005E41EB" w:rsidRDefault="005E41EB" w:rsidP="005E41EB">
            <w:pPr>
              <w:overflowPunct/>
              <w:autoSpaceDE/>
              <w:autoSpaceDN/>
              <w:adjustRightInd/>
              <w:jc w:val="center"/>
              <w:textAlignment w:val="auto"/>
              <w:rPr>
                <w:color w:val="000000"/>
              </w:rPr>
            </w:pPr>
            <w:r w:rsidRPr="005E41EB">
              <w:rPr>
                <w:color w:val="000000"/>
              </w:rPr>
              <w:t>8</w:t>
            </w:r>
          </w:p>
        </w:tc>
        <w:tc>
          <w:tcPr>
            <w:tcW w:w="0" w:type="auto"/>
            <w:tcBorders>
              <w:top w:val="nil"/>
              <w:left w:val="nil"/>
              <w:bottom w:val="double" w:sz="6" w:space="0" w:color="auto"/>
              <w:right w:val="nil"/>
            </w:tcBorders>
            <w:shd w:val="clear" w:color="auto" w:fill="auto"/>
            <w:noWrap/>
            <w:vAlign w:val="bottom"/>
            <w:hideMark/>
          </w:tcPr>
          <w:p w:rsidR="005E41EB" w:rsidRPr="005E41EB" w:rsidRDefault="005E41EB" w:rsidP="005E41EB">
            <w:pPr>
              <w:overflowPunct/>
              <w:autoSpaceDE/>
              <w:autoSpaceDN/>
              <w:adjustRightInd/>
              <w:jc w:val="center"/>
              <w:textAlignment w:val="auto"/>
              <w:rPr>
                <w:color w:val="000000"/>
              </w:rPr>
            </w:pPr>
            <w:r w:rsidRPr="005E41EB">
              <w:rPr>
                <w:color w:val="000000"/>
              </w:rPr>
              <w:t>12</w:t>
            </w:r>
          </w:p>
        </w:tc>
        <w:tc>
          <w:tcPr>
            <w:tcW w:w="0" w:type="auto"/>
            <w:tcBorders>
              <w:top w:val="nil"/>
              <w:left w:val="nil"/>
              <w:bottom w:val="double" w:sz="6" w:space="0" w:color="auto"/>
              <w:right w:val="nil"/>
            </w:tcBorders>
            <w:shd w:val="clear" w:color="auto" w:fill="auto"/>
            <w:noWrap/>
            <w:vAlign w:val="bottom"/>
            <w:hideMark/>
          </w:tcPr>
          <w:p w:rsidR="005E41EB" w:rsidRPr="005E41EB" w:rsidRDefault="005E41EB" w:rsidP="005E41EB">
            <w:pPr>
              <w:overflowPunct/>
              <w:autoSpaceDE/>
              <w:autoSpaceDN/>
              <w:adjustRightInd/>
              <w:jc w:val="center"/>
              <w:textAlignment w:val="auto"/>
              <w:rPr>
                <w:color w:val="000000"/>
              </w:rPr>
            </w:pPr>
            <w:r w:rsidRPr="005E41EB">
              <w:rPr>
                <w:color w:val="000000"/>
              </w:rPr>
              <w:t>4</w:t>
            </w:r>
          </w:p>
        </w:tc>
        <w:tc>
          <w:tcPr>
            <w:tcW w:w="0" w:type="auto"/>
            <w:tcBorders>
              <w:top w:val="nil"/>
              <w:left w:val="nil"/>
              <w:bottom w:val="double" w:sz="6" w:space="0" w:color="auto"/>
              <w:right w:val="nil"/>
            </w:tcBorders>
            <w:shd w:val="clear" w:color="auto" w:fill="auto"/>
            <w:noWrap/>
            <w:vAlign w:val="bottom"/>
            <w:hideMark/>
          </w:tcPr>
          <w:p w:rsidR="005E41EB" w:rsidRPr="005E41EB" w:rsidRDefault="005E41EB" w:rsidP="005E41EB">
            <w:pPr>
              <w:overflowPunct/>
              <w:autoSpaceDE/>
              <w:autoSpaceDN/>
              <w:adjustRightInd/>
              <w:jc w:val="center"/>
              <w:textAlignment w:val="auto"/>
              <w:rPr>
                <w:color w:val="000000"/>
              </w:rPr>
            </w:pPr>
            <w:r w:rsidRPr="005E41EB">
              <w:rPr>
                <w:color w:val="000000"/>
              </w:rPr>
              <w:t>8</w:t>
            </w:r>
          </w:p>
        </w:tc>
        <w:tc>
          <w:tcPr>
            <w:tcW w:w="0" w:type="auto"/>
            <w:tcBorders>
              <w:top w:val="nil"/>
              <w:left w:val="nil"/>
              <w:bottom w:val="double" w:sz="6" w:space="0" w:color="auto"/>
              <w:right w:val="nil"/>
            </w:tcBorders>
            <w:shd w:val="clear" w:color="auto" w:fill="auto"/>
            <w:noWrap/>
            <w:vAlign w:val="bottom"/>
            <w:hideMark/>
          </w:tcPr>
          <w:p w:rsidR="005E41EB" w:rsidRPr="005E41EB" w:rsidRDefault="005E41EB" w:rsidP="005E41EB">
            <w:pPr>
              <w:overflowPunct/>
              <w:autoSpaceDE/>
              <w:autoSpaceDN/>
              <w:adjustRightInd/>
              <w:jc w:val="center"/>
              <w:textAlignment w:val="auto"/>
              <w:rPr>
                <w:color w:val="000000"/>
              </w:rPr>
            </w:pPr>
            <w:r w:rsidRPr="005E41EB">
              <w:rPr>
                <w:color w:val="000000"/>
              </w:rPr>
              <w:t>12</w:t>
            </w:r>
          </w:p>
        </w:tc>
        <w:tc>
          <w:tcPr>
            <w:tcW w:w="0" w:type="auto"/>
            <w:tcBorders>
              <w:top w:val="nil"/>
              <w:left w:val="nil"/>
              <w:bottom w:val="double" w:sz="6" w:space="0" w:color="auto"/>
              <w:right w:val="nil"/>
            </w:tcBorders>
            <w:shd w:val="clear" w:color="auto" w:fill="auto"/>
            <w:noWrap/>
            <w:vAlign w:val="bottom"/>
            <w:hideMark/>
          </w:tcPr>
          <w:p w:rsidR="005E41EB" w:rsidRPr="005E41EB" w:rsidRDefault="005E41EB" w:rsidP="005E41EB">
            <w:pPr>
              <w:overflowPunct/>
              <w:autoSpaceDE/>
              <w:autoSpaceDN/>
              <w:adjustRightInd/>
              <w:jc w:val="center"/>
              <w:textAlignment w:val="auto"/>
              <w:rPr>
                <w:color w:val="000000"/>
              </w:rPr>
            </w:pPr>
            <w:r w:rsidRPr="005E41EB">
              <w:rPr>
                <w:color w:val="000000"/>
              </w:rPr>
              <w:t>4</w:t>
            </w:r>
          </w:p>
        </w:tc>
        <w:tc>
          <w:tcPr>
            <w:tcW w:w="0" w:type="auto"/>
            <w:tcBorders>
              <w:top w:val="nil"/>
              <w:left w:val="nil"/>
              <w:bottom w:val="double" w:sz="6" w:space="0" w:color="auto"/>
              <w:right w:val="nil"/>
            </w:tcBorders>
            <w:shd w:val="clear" w:color="auto" w:fill="auto"/>
            <w:noWrap/>
            <w:vAlign w:val="bottom"/>
            <w:hideMark/>
          </w:tcPr>
          <w:p w:rsidR="005E41EB" w:rsidRPr="005E41EB" w:rsidRDefault="005E41EB" w:rsidP="005E41EB">
            <w:pPr>
              <w:overflowPunct/>
              <w:autoSpaceDE/>
              <w:autoSpaceDN/>
              <w:adjustRightInd/>
              <w:jc w:val="center"/>
              <w:textAlignment w:val="auto"/>
              <w:rPr>
                <w:color w:val="000000"/>
              </w:rPr>
            </w:pPr>
            <w:r w:rsidRPr="005E41EB">
              <w:rPr>
                <w:color w:val="000000"/>
              </w:rPr>
              <w:t>8</w:t>
            </w:r>
          </w:p>
        </w:tc>
        <w:tc>
          <w:tcPr>
            <w:tcW w:w="0" w:type="auto"/>
            <w:tcBorders>
              <w:top w:val="nil"/>
              <w:left w:val="nil"/>
              <w:bottom w:val="double" w:sz="6" w:space="0" w:color="auto"/>
              <w:right w:val="nil"/>
            </w:tcBorders>
            <w:shd w:val="clear" w:color="auto" w:fill="auto"/>
            <w:noWrap/>
            <w:vAlign w:val="bottom"/>
            <w:hideMark/>
          </w:tcPr>
          <w:p w:rsidR="005E41EB" w:rsidRPr="005E41EB" w:rsidRDefault="005E41EB" w:rsidP="005E41EB">
            <w:pPr>
              <w:overflowPunct/>
              <w:autoSpaceDE/>
              <w:autoSpaceDN/>
              <w:adjustRightInd/>
              <w:jc w:val="center"/>
              <w:textAlignment w:val="auto"/>
              <w:rPr>
                <w:color w:val="000000"/>
              </w:rPr>
            </w:pPr>
            <w:r w:rsidRPr="005E41EB">
              <w:rPr>
                <w:color w:val="000000"/>
              </w:rPr>
              <w:t>12</w:t>
            </w:r>
          </w:p>
        </w:tc>
        <w:tc>
          <w:tcPr>
            <w:tcW w:w="0" w:type="auto"/>
            <w:tcBorders>
              <w:top w:val="nil"/>
              <w:left w:val="nil"/>
              <w:bottom w:val="nil"/>
              <w:right w:val="nil"/>
            </w:tcBorders>
            <w:shd w:val="clear" w:color="auto" w:fill="auto"/>
            <w:noWrap/>
            <w:vAlign w:val="bottom"/>
            <w:hideMark/>
          </w:tcPr>
          <w:p w:rsidR="005E41EB" w:rsidRPr="005E41EB" w:rsidRDefault="005E41EB" w:rsidP="005E41EB">
            <w:pPr>
              <w:overflowPunct/>
              <w:autoSpaceDE/>
              <w:autoSpaceDN/>
              <w:adjustRightInd/>
              <w:textAlignment w:val="auto"/>
              <w:rPr>
                <w:color w:val="000000"/>
              </w:rPr>
            </w:pPr>
          </w:p>
        </w:tc>
        <w:tc>
          <w:tcPr>
            <w:tcW w:w="0" w:type="auto"/>
            <w:tcBorders>
              <w:top w:val="nil"/>
              <w:left w:val="nil"/>
              <w:bottom w:val="nil"/>
              <w:right w:val="nil"/>
            </w:tcBorders>
            <w:shd w:val="clear" w:color="auto" w:fill="auto"/>
            <w:noWrap/>
            <w:vAlign w:val="bottom"/>
            <w:hideMark/>
          </w:tcPr>
          <w:p w:rsidR="005E41EB" w:rsidRPr="005E41EB" w:rsidRDefault="005E41EB" w:rsidP="005E41EB">
            <w:pPr>
              <w:overflowPunct/>
              <w:autoSpaceDE/>
              <w:autoSpaceDN/>
              <w:adjustRightInd/>
              <w:textAlignment w:val="auto"/>
              <w:rPr>
                <w:color w:val="000000"/>
              </w:rPr>
            </w:pPr>
          </w:p>
        </w:tc>
        <w:tc>
          <w:tcPr>
            <w:tcW w:w="0" w:type="auto"/>
            <w:tcBorders>
              <w:top w:val="nil"/>
              <w:left w:val="nil"/>
              <w:bottom w:val="nil"/>
              <w:right w:val="nil"/>
            </w:tcBorders>
            <w:shd w:val="clear" w:color="auto" w:fill="auto"/>
            <w:noWrap/>
            <w:vAlign w:val="bottom"/>
            <w:hideMark/>
          </w:tcPr>
          <w:p w:rsidR="005E41EB" w:rsidRPr="005E41EB" w:rsidRDefault="005E41EB" w:rsidP="005E41EB">
            <w:pPr>
              <w:overflowPunct/>
              <w:autoSpaceDE/>
              <w:autoSpaceDN/>
              <w:adjustRightInd/>
              <w:textAlignment w:val="auto"/>
              <w:rPr>
                <w:color w:val="000000"/>
              </w:rPr>
            </w:pPr>
          </w:p>
        </w:tc>
      </w:tr>
      <w:tr w:rsidR="005E41EB" w:rsidRPr="005E41EB" w:rsidTr="00F044F4">
        <w:trPr>
          <w:trHeight w:val="20"/>
        </w:trPr>
        <w:tc>
          <w:tcPr>
            <w:tcW w:w="1939" w:type="dxa"/>
            <w:tcBorders>
              <w:top w:val="nil"/>
              <w:left w:val="nil"/>
              <w:bottom w:val="nil"/>
              <w:right w:val="nil"/>
            </w:tcBorders>
            <w:shd w:val="clear" w:color="auto" w:fill="auto"/>
            <w:noWrap/>
            <w:vAlign w:val="bottom"/>
            <w:hideMark/>
          </w:tcPr>
          <w:p w:rsidR="005E41EB" w:rsidRPr="005E41EB" w:rsidRDefault="005E41EB" w:rsidP="005E41EB">
            <w:pPr>
              <w:overflowPunct/>
              <w:autoSpaceDE/>
              <w:autoSpaceDN/>
              <w:adjustRightInd/>
              <w:spacing w:before="60"/>
              <w:textAlignment w:val="auto"/>
              <w:rPr>
                <w:color w:val="000000"/>
              </w:rPr>
            </w:pPr>
            <w:r w:rsidRPr="005E41EB">
              <w:rPr>
                <w:color w:val="000000"/>
              </w:rPr>
              <w:t>Income Returns</w:t>
            </w:r>
          </w:p>
        </w:tc>
        <w:tc>
          <w:tcPr>
            <w:tcW w:w="0" w:type="auto"/>
            <w:tcBorders>
              <w:top w:val="nil"/>
              <w:left w:val="nil"/>
              <w:bottom w:val="nil"/>
              <w:right w:val="nil"/>
            </w:tcBorders>
            <w:shd w:val="clear" w:color="auto" w:fill="auto"/>
            <w:noWrap/>
            <w:vAlign w:val="bottom"/>
            <w:hideMark/>
          </w:tcPr>
          <w:p w:rsidR="005E41EB" w:rsidRPr="005E41EB" w:rsidRDefault="005E41EB" w:rsidP="005E41EB">
            <w:pPr>
              <w:overflowPunct/>
              <w:autoSpaceDE/>
              <w:autoSpaceDN/>
              <w:adjustRightInd/>
              <w:spacing w:before="60"/>
              <w:jc w:val="right"/>
              <w:textAlignment w:val="auto"/>
              <w:rPr>
                <w:color w:val="000000"/>
              </w:rPr>
            </w:pPr>
            <w:r w:rsidRPr="005E41EB">
              <w:rPr>
                <w:color w:val="000000"/>
              </w:rPr>
              <w:t>71%</w:t>
            </w:r>
          </w:p>
        </w:tc>
        <w:tc>
          <w:tcPr>
            <w:tcW w:w="0" w:type="auto"/>
            <w:tcBorders>
              <w:top w:val="nil"/>
              <w:left w:val="nil"/>
              <w:bottom w:val="nil"/>
              <w:right w:val="nil"/>
            </w:tcBorders>
            <w:shd w:val="clear" w:color="auto" w:fill="auto"/>
            <w:noWrap/>
            <w:vAlign w:val="bottom"/>
            <w:hideMark/>
          </w:tcPr>
          <w:p w:rsidR="005E41EB" w:rsidRPr="005E41EB" w:rsidRDefault="005E41EB" w:rsidP="005E41EB">
            <w:pPr>
              <w:overflowPunct/>
              <w:autoSpaceDE/>
              <w:autoSpaceDN/>
              <w:adjustRightInd/>
              <w:spacing w:before="60"/>
              <w:jc w:val="right"/>
              <w:textAlignment w:val="auto"/>
              <w:rPr>
                <w:color w:val="000000"/>
              </w:rPr>
            </w:pPr>
            <w:r w:rsidRPr="005E41EB">
              <w:rPr>
                <w:color w:val="000000"/>
              </w:rPr>
              <w:t>51%</w:t>
            </w:r>
          </w:p>
        </w:tc>
        <w:tc>
          <w:tcPr>
            <w:tcW w:w="0" w:type="auto"/>
            <w:tcBorders>
              <w:top w:val="nil"/>
              <w:left w:val="nil"/>
              <w:bottom w:val="nil"/>
              <w:right w:val="nil"/>
            </w:tcBorders>
            <w:shd w:val="clear" w:color="auto" w:fill="auto"/>
            <w:noWrap/>
            <w:vAlign w:val="bottom"/>
            <w:hideMark/>
          </w:tcPr>
          <w:p w:rsidR="005E41EB" w:rsidRPr="005E41EB" w:rsidRDefault="005E41EB" w:rsidP="005E41EB">
            <w:pPr>
              <w:overflowPunct/>
              <w:autoSpaceDE/>
              <w:autoSpaceDN/>
              <w:adjustRightInd/>
              <w:spacing w:before="60"/>
              <w:jc w:val="right"/>
              <w:textAlignment w:val="auto"/>
              <w:rPr>
                <w:color w:val="000000"/>
              </w:rPr>
            </w:pPr>
            <w:r w:rsidRPr="005E41EB">
              <w:rPr>
                <w:color w:val="000000"/>
              </w:rPr>
              <w:t>43%</w:t>
            </w:r>
          </w:p>
        </w:tc>
        <w:tc>
          <w:tcPr>
            <w:tcW w:w="0" w:type="auto"/>
            <w:tcBorders>
              <w:top w:val="nil"/>
              <w:left w:val="nil"/>
              <w:bottom w:val="nil"/>
              <w:right w:val="nil"/>
            </w:tcBorders>
            <w:shd w:val="clear" w:color="auto" w:fill="auto"/>
            <w:noWrap/>
            <w:vAlign w:val="bottom"/>
            <w:hideMark/>
          </w:tcPr>
          <w:p w:rsidR="005E41EB" w:rsidRPr="005E41EB" w:rsidRDefault="005E41EB" w:rsidP="005E41EB">
            <w:pPr>
              <w:overflowPunct/>
              <w:autoSpaceDE/>
              <w:autoSpaceDN/>
              <w:adjustRightInd/>
              <w:spacing w:before="60"/>
              <w:jc w:val="right"/>
              <w:textAlignment w:val="auto"/>
              <w:rPr>
                <w:color w:val="000000"/>
              </w:rPr>
            </w:pPr>
            <w:r w:rsidRPr="005E41EB">
              <w:rPr>
                <w:color w:val="000000"/>
              </w:rPr>
              <w:t>0%</w:t>
            </w:r>
          </w:p>
        </w:tc>
        <w:tc>
          <w:tcPr>
            <w:tcW w:w="0" w:type="auto"/>
            <w:tcBorders>
              <w:top w:val="nil"/>
              <w:left w:val="nil"/>
              <w:bottom w:val="nil"/>
              <w:right w:val="nil"/>
            </w:tcBorders>
            <w:shd w:val="clear" w:color="auto" w:fill="auto"/>
            <w:noWrap/>
            <w:vAlign w:val="bottom"/>
            <w:hideMark/>
          </w:tcPr>
          <w:p w:rsidR="005E41EB" w:rsidRPr="005E41EB" w:rsidRDefault="005E41EB" w:rsidP="005E41EB">
            <w:pPr>
              <w:overflowPunct/>
              <w:autoSpaceDE/>
              <w:autoSpaceDN/>
              <w:adjustRightInd/>
              <w:spacing w:before="60"/>
              <w:jc w:val="right"/>
              <w:textAlignment w:val="auto"/>
              <w:rPr>
                <w:color w:val="000000"/>
              </w:rPr>
            </w:pPr>
            <w:r w:rsidRPr="005E41EB">
              <w:rPr>
                <w:color w:val="000000"/>
              </w:rPr>
              <w:t>0%</w:t>
            </w:r>
          </w:p>
        </w:tc>
        <w:tc>
          <w:tcPr>
            <w:tcW w:w="0" w:type="auto"/>
            <w:tcBorders>
              <w:top w:val="nil"/>
              <w:left w:val="nil"/>
              <w:bottom w:val="nil"/>
              <w:right w:val="nil"/>
            </w:tcBorders>
            <w:shd w:val="clear" w:color="auto" w:fill="auto"/>
            <w:noWrap/>
            <w:vAlign w:val="bottom"/>
            <w:hideMark/>
          </w:tcPr>
          <w:p w:rsidR="005E41EB" w:rsidRPr="005E41EB" w:rsidRDefault="005E41EB" w:rsidP="005E41EB">
            <w:pPr>
              <w:overflowPunct/>
              <w:autoSpaceDE/>
              <w:autoSpaceDN/>
              <w:adjustRightInd/>
              <w:spacing w:before="60"/>
              <w:jc w:val="right"/>
              <w:textAlignment w:val="auto"/>
              <w:rPr>
                <w:color w:val="000000"/>
              </w:rPr>
            </w:pPr>
            <w:r w:rsidRPr="005E41EB">
              <w:rPr>
                <w:color w:val="000000"/>
              </w:rPr>
              <w:t>0%</w:t>
            </w:r>
          </w:p>
        </w:tc>
        <w:tc>
          <w:tcPr>
            <w:tcW w:w="0" w:type="auto"/>
            <w:tcBorders>
              <w:top w:val="nil"/>
              <w:left w:val="nil"/>
              <w:bottom w:val="nil"/>
              <w:right w:val="nil"/>
            </w:tcBorders>
            <w:shd w:val="clear" w:color="auto" w:fill="auto"/>
            <w:noWrap/>
            <w:vAlign w:val="bottom"/>
            <w:hideMark/>
          </w:tcPr>
          <w:p w:rsidR="005E41EB" w:rsidRPr="005E41EB" w:rsidRDefault="005E41EB" w:rsidP="005E41EB">
            <w:pPr>
              <w:overflowPunct/>
              <w:autoSpaceDE/>
              <w:autoSpaceDN/>
              <w:adjustRightInd/>
              <w:spacing w:before="60"/>
              <w:jc w:val="right"/>
              <w:textAlignment w:val="auto"/>
              <w:rPr>
                <w:color w:val="000000"/>
              </w:rPr>
            </w:pPr>
            <w:r w:rsidRPr="005E41EB">
              <w:rPr>
                <w:color w:val="000000"/>
              </w:rPr>
              <w:t>1%</w:t>
            </w:r>
          </w:p>
        </w:tc>
        <w:tc>
          <w:tcPr>
            <w:tcW w:w="0" w:type="auto"/>
            <w:tcBorders>
              <w:top w:val="nil"/>
              <w:left w:val="nil"/>
              <w:bottom w:val="nil"/>
              <w:right w:val="nil"/>
            </w:tcBorders>
            <w:shd w:val="clear" w:color="auto" w:fill="auto"/>
            <w:noWrap/>
            <w:vAlign w:val="bottom"/>
            <w:hideMark/>
          </w:tcPr>
          <w:p w:rsidR="005E41EB" w:rsidRPr="005E41EB" w:rsidRDefault="005E41EB" w:rsidP="005E41EB">
            <w:pPr>
              <w:overflowPunct/>
              <w:autoSpaceDE/>
              <w:autoSpaceDN/>
              <w:adjustRightInd/>
              <w:spacing w:before="60"/>
              <w:jc w:val="right"/>
              <w:textAlignment w:val="auto"/>
              <w:rPr>
                <w:color w:val="000000"/>
              </w:rPr>
            </w:pPr>
            <w:r w:rsidRPr="005E41EB">
              <w:rPr>
                <w:color w:val="000000"/>
              </w:rPr>
              <w:t>1%</w:t>
            </w:r>
          </w:p>
        </w:tc>
        <w:tc>
          <w:tcPr>
            <w:tcW w:w="0" w:type="auto"/>
            <w:tcBorders>
              <w:top w:val="nil"/>
              <w:left w:val="nil"/>
              <w:bottom w:val="nil"/>
              <w:right w:val="nil"/>
            </w:tcBorders>
            <w:shd w:val="clear" w:color="auto" w:fill="auto"/>
            <w:noWrap/>
            <w:vAlign w:val="bottom"/>
            <w:hideMark/>
          </w:tcPr>
          <w:p w:rsidR="005E41EB" w:rsidRPr="005E41EB" w:rsidRDefault="005E41EB" w:rsidP="005E41EB">
            <w:pPr>
              <w:overflowPunct/>
              <w:autoSpaceDE/>
              <w:autoSpaceDN/>
              <w:adjustRightInd/>
              <w:spacing w:before="60"/>
              <w:jc w:val="right"/>
              <w:textAlignment w:val="auto"/>
              <w:rPr>
                <w:color w:val="000000"/>
              </w:rPr>
            </w:pPr>
            <w:r w:rsidRPr="005E41EB">
              <w:rPr>
                <w:color w:val="000000"/>
              </w:rPr>
              <w:t>1%</w:t>
            </w:r>
          </w:p>
        </w:tc>
        <w:tc>
          <w:tcPr>
            <w:tcW w:w="0" w:type="auto"/>
            <w:tcBorders>
              <w:top w:val="nil"/>
              <w:left w:val="nil"/>
              <w:bottom w:val="nil"/>
              <w:right w:val="nil"/>
            </w:tcBorders>
            <w:shd w:val="clear" w:color="auto" w:fill="auto"/>
            <w:noWrap/>
            <w:vAlign w:val="bottom"/>
            <w:hideMark/>
          </w:tcPr>
          <w:p w:rsidR="005E41EB" w:rsidRPr="005E41EB" w:rsidRDefault="005E41EB" w:rsidP="005E41EB">
            <w:pPr>
              <w:overflowPunct/>
              <w:autoSpaceDE/>
              <w:autoSpaceDN/>
              <w:adjustRightInd/>
              <w:textAlignment w:val="auto"/>
              <w:rPr>
                <w:color w:val="000000"/>
              </w:rPr>
            </w:pPr>
          </w:p>
        </w:tc>
        <w:tc>
          <w:tcPr>
            <w:tcW w:w="0" w:type="auto"/>
            <w:tcBorders>
              <w:top w:val="nil"/>
              <w:left w:val="nil"/>
              <w:bottom w:val="nil"/>
              <w:right w:val="nil"/>
            </w:tcBorders>
            <w:shd w:val="clear" w:color="auto" w:fill="auto"/>
            <w:noWrap/>
            <w:vAlign w:val="bottom"/>
            <w:hideMark/>
          </w:tcPr>
          <w:p w:rsidR="005E41EB" w:rsidRPr="005E41EB" w:rsidRDefault="005E41EB" w:rsidP="005E41EB">
            <w:pPr>
              <w:overflowPunct/>
              <w:autoSpaceDE/>
              <w:autoSpaceDN/>
              <w:adjustRightInd/>
              <w:textAlignment w:val="auto"/>
              <w:rPr>
                <w:color w:val="000000"/>
              </w:rPr>
            </w:pPr>
          </w:p>
        </w:tc>
        <w:tc>
          <w:tcPr>
            <w:tcW w:w="0" w:type="auto"/>
            <w:tcBorders>
              <w:top w:val="nil"/>
              <w:left w:val="nil"/>
              <w:bottom w:val="nil"/>
              <w:right w:val="nil"/>
            </w:tcBorders>
            <w:shd w:val="clear" w:color="auto" w:fill="auto"/>
            <w:noWrap/>
            <w:vAlign w:val="bottom"/>
            <w:hideMark/>
          </w:tcPr>
          <w:p w:rsidR="005E41EB" w:rsidRPr="005E41EB" w:rsidRDefault="005E41EB" w:rsidP="005E41EB">
            <w:pPr>
              <w:overflowPunct/>
              <w:autoSpaceDE/>
              <w:autoSpaceDN/>
              <w:adjustRightInd/>
              <w:textAlignment w:val="auto"/>
              <w:rPr>
                <w:color w:val="000000"/>
              </w:rPr>
            </w:pPr>
          </w:p>
        </w:tc>
      </w:tr>
      <w:tr w:rsidR="005E41EB" w:rsidRPr="005E41EB" w:rsidTr="00F044F4">
        <w:trPr>
          <w:trHeight w:val="20"/>
        </w:trPr>
        <w:tc>
          <w:tcPr>
            <w:tcW w:w="1939" w:type="dxa"/>
            <w:tcBorders>
              <w:top w:val="nil"/>
              <w:left w:val="nil"/>
              <w:bottom w:val="nil"/>
              <w:right w:val="nil"/>
            </w:tcBorders>
            <w:shd w:val="clear" w:color="auto" w:fill="auto"/>
            <w:noWrap/>
            <w:vAlign w:val="bottom"/>
            <w:hideMark/>
          </w:tcPr>
          <w:p w:rsidR="005E41EB" w:rsidRPr="005E41EB" w:rsidRDefault="005E41EB" w:rsidP="005E41EB">
            <w:pPr>
              <w:overflowPunct/>
              <w:autoSpaceDE/>
              <w:autoSpaceDN/>
              <w:adjustRightInd/>
              <w:textAlignment w:val="auto"/>
              <w:rPr>
                <w:color w:val="000000"/>
              </w:rPr>
            </w:pPr>
            <w:r w:rsidRPr="005E41EB">
              <w:rPr>
                <w:color w:val="000000"/>
              </w:rPr>
              <w:t>Capital Gains</w:t>
            </w:r>
          </w:p>
        </w:tc>
        <w:tc>
          <w:tcPr>
            <w:tcW w:w="0" w:type="auto"/>
            <w:tcBorders>
              <w:top w:val="nil"/>
              <w:left w:val="nil"/>
              <w:bottom w:val="nil"/>
              <w:right w:val="nil"/>
            </w:tcBorders>
            <w:shd w:val="clear" w:color="auto" w:fill="auto"/>
            <w:noWrap/>
            <w:vAlign w:val="bottom"/>
            <w:hideMark/>
          </w:tcPr>
          <w:p w:rsidR="005E41EB" w:rsidRPr="005E41EB" w:rsidRDefault="005E41EB" w:rsidP="005E41EB">
            <w:pPr>
              <w:overflowPunct/>
              <w:autoSpaceDE/>
              <w:autoSpaceDN/>
              <w:adjustRightInd/>
              <w:jc w:val="right"/>
              <w:textAlignment w:val="auto"/>
              <w:rPr>
                <w:color w:val="000000"/>
              </w:rPr>
            </w:pPr>
            <w:r w:rsidRPr="005E41EB">
              <w:rPr>
                <w:color w:val="000000"/>
              </w:rPr>
              <w:t>28%</w:t>
            </w:r>
          </w:p>
        </w:tc>
        <w:tc>
          <w:tcPr>
            <w:tcW w:w="0" w:type="auto"/>
            <w:tcBorders>
              <w:top w:val="nil"/>
              <w:left w:val="nil"/>
              <w:bottom w:val="nil"/>
              <w:right w:val="nil"/>
            </w:tcBorders>
            <w:shd w:val="clear" w:color="auto" w:fill="auto"/>
            <w:noWrap/>
            <w:vAlign w:val="bottom"/>
            <w:hideMark/>
          </w:tcPr>
          <w:p w:rsidR="005E41EB" w:rsidRPr="005E41EB" w:rsidRDefault="005E41EB" w:rsidP="005E41EB">
            <w:pPr>
              <w:overflowPunct/>
              <w:autoSpaceDE/>
              <w:autoSpaceDN/>
              <w:adjustRightInd/>
              <w:jc w:val="right"/>
              <w:textAlignment w:val="auto"/>
              <w:rPr>
                <w:color w:val="000000"/>
              </w:rPr>
            </w:pPr>
            <w:r w:rsidRPr="005E41EB">
              <w:rPr>
                <w:color w:val="000000"/>
              </w:rPr>
              <w:t>47%</w:t>
            </w:r>
          </w:p>
        </w:tc>
        <w:tc>
          <w:tcPr>
            <w:tcW w:w="0" w:type="auto"/>
            <w:tcBorders>
              <w:top w:val="nil"/>
              <w:left w:val="nil"/>
              <w:bottom w:val="nil"/>
              <w:right w:val="nil"/>
            </w:tcBorders>
            <w:shd w:val="clear" w:color="auto" w:fill="auto"/>
            <w:noWrap/>
            <w:vAlign w:val="bottom"/>
            <w:hideMark/>
          </w:tcPr>
          <w:p w:rsidR="005E41EB" w:rsidRPr="005E41EB" w:rsidRDefault="005E41EB" w:rsidP="005E41EB">
            <w:pPr>
              <w:overflowPunct/>
              <w:autoSpaceDE/>
              <w:autoSpaceDN/>
              <w:adjustRightInd/>
              <w:jc w:val="right"/>
              <w:textAlignment w:val="auto"/>
              <w:rPr>
                <w:color w:val="000000"/>
              </w:rPr>
            </w:pPr>
            <w:r w:rsidRPr="005E41EB">
              <w:rPr>
                <w:color w:val="000000"/>
              </w:rPr>
              <w:t>54%</w:t>
            </w:r>
          </w:p>
        </w:tc>
        <w:tc>
          <w:tcPr>
            <w:tcW w:w="0" w:type="auto"/>
            <w:tcBorders>
              <w:top w:val="nil"/>
              <w:left w:val="nil"/>
              <w:bottom w:val="nil"/>
              <w:right w:val="nil"/>
            </w:tcBorders>
            <w:shd w:val="clear" w:color="auto" w:fill="auto"/>
            <w:noWrap/>
            <w:vAlign w:val="bottom"/>
            <w:hideMark/>
          </w:tcPr>
          <w:p w:rsidR="005E41EB" w:rsidRPr="005E41EB" w:rsidRDefault="005E41EB" w:rsidP="005E41EB">
            <w:pPr>
              <w:overflowPunct/>
              <w:autoSpaceDE/>
              <w:autoSpaceDN/>
              <w:adjustRightInd/>
              <w:jc w:val="right"/>
              <w:textAlignment w:val="auto"/>
              <w:rPr>
                <w:color w:val="000000"/>
              </w:rPr>
            </w:pPr>
            <w:r w:rsidRPr="005E41EB">
              <w:rPr>
                <w:color w:val="000000"/>
              </w:rPr>
              <w:t>8%</w:t>
            </w:r>
          </w:p>
        </w:tc>
        <w:tc>
          <w:tcPr>
            <w:tcW w:w="0" w:type="auto"/>
            <w:tcBorders>
              <w:top w:val="nil"/>
              <w:left w:val="nil"/>
              <w:bottom w:val="nil"/>
              <w:right w:val="nil"/>
            </w:tcBorders>
            <w:shd w:val="clear" w:color="auto" w:fill="auto"/>
            <w:noWrap/>
            <w:vAlign w:val="bottom"/>
            <w:hideMark/>
          </w:tcPr>
          <w:p w:rsidR="005E41EB" w:rsidRPr="005E41EB" w:rsidRDefault="005E41EB" w:rsidP="005E41EB">
            <w:pPr>
              <w:overflowPunct/>
              <w:autoSpaceDE/>
              <w:autoSpaceDN/>
              <w:adjustRightInd/>
              <w:jc w:val="right"/>
              <w:textAlignment w:val="auto"/>
              <w:rPr>
                <w:color w:val="000000"/>
              </w:rPr>
            </w:pPr>
            <w:r w:rsidRPr="005E41EB">
              <w:rPr>
                <w:color w:val="000000"/>
              </w:rPr>
              <w:t>17%</w:t>
            </w:r>
          </w:p>
        </w:tc>
        <w:tc>
          <w:tcPr>
            <w:tcW w:w="0" w:type="auto"/>
            <w:tcBorders>
              <w:top w:val="nil"/>
              <w:left w:val="nil"/>
              <w:bottom w:val="nil"/>
              <w:right w:val="nil"/>
            </w:tcBorders>
            <w:shd w:val="clear" w:color="auto" w:fill="auto"/>
            <w:noWrap/>
            <w:vAlign w:val="bottom"/>
            <w:hideMark/>
          </w:tcPr>
          <w:p w:rsidR="005E41EB" w:rsidRPr="005E41EB" w:rsidRDefault="005E41EB" w:rsidP="005E41EB">
            <w:pPr>
              <w:overflowPunct/>
              <w:autoSpaceDE/>
              <w:autoSpaceDN/>
              <w:adjustRightInd/>
              <w:jc w:val="right"/>
              <w:textAlignment w:val="auto"/>
              <w:rPr>
                <w:color w:val="000000"/>
              </w:rPr>
            </w:pPr>
            <w:r w:rsidRPr="005E41EB">
              <w:rPr>
                <w:color w:val="000000"/>
              </w:rPr>
              <w:t>22%</w:t>
            </w:r>
          </w:p>
        </w:tc>
        <w:tc>
          <w:tcPr>
            <w:tcW w:w="0" w:type="auto"/>
            <w:tcBorders>
              <w:top w:val="nil"/>
              <w:left w:val="nil"/>
              <w:bottom w:val="nil"/>
              <w:right w:val="nil"/>
            </w:tcBorders>
            <w:shd w:val="clear" w:color="auto" w:fill="auto"/>
            <w:noWrap/>
            <w:vAlign w:val="bottom"/>
            <w:hideMark/>
          </w:tcPr>
          <w:p w:rsidR="005E41EB" w:rsidRPr="005E41EB" w:rsidRDefault="005E41EB" w:rsidP="005E41EB">
            <w:pPr>
              <w:overflowPunct/>
              <w:autoSpaceDE/>
              <w:autoSpaceDN/>
              <w:adjustRightInd/>
              <w:jc w:val="right"/>
              <w:textAlignment w:val="auto"/>
              <w:rPr>
                <w:color w:val="000000"/>
              </w:rPr>
            </w:pPr>
            <w:r w:rsidRPr="005E41EB">
              <w:rPr>
                <w:color w:val="000000"/>
              </w:rPr>
              <w:t>96%</w:t>
            </w:r>
          </w:p>
        </w:tc>
        <w:tc>
          <w:tcPr>
            <w:tcW w:w="0" w:type="auto"/>
            <w:tcBorders>
              <w:top w:val="nil"/>
              <w:left w:val="nil"/>
              <w:bottom w:val="nil"/>
              <w:right w:val="nil"/>
            </w:tcBorders>
            <w:shd w:val="clear" w:color="auto" w:fill="auto"/>
            <w:noWrap/>
            <w:vAlign w:val="bottom"/>
            <w:hideMark/>
          </w:tcPr>
          <w:p w:rsidR="005E41EB" w:rsidRPr="005E41EB" w:rsidRDefault="005E41EB" w:rsidP="005E41EB">
            <w:pPr>
              <w:overflowPunct/>
              <w:autoSpaceDE/>
              <w:autoSpaceDN/>
              <w:adjustRightInd/>
              <w:jc w:val="right"/>
              <w:textAlignment w:val="auto"/>
              <w:rPr>
                <w:color w:val="000000"/>
              </w:rPr>
            </w:pPr>
            <w:r w:rsidRPr="005E41EB">
              <w:rPr>
                <w:color w:val="000000"/>
              </w:rPr>
              <w:t>87%</w:t>
            </w:r>
          </w:p>
        </w:tc>
        <w:tc>
          <w:tcPr>
            <w:tcW w:w="0" w:type="auto"/>
            <w:tcBorders>
              <w:top w:val="nil"/>
              <w:left w:val="nil"/>
              <w:bottom w:val="nil"/>
              <w:right w:val="nil"/>
            </w:tcBorders>
            <w:shd w:val="clear" w:color="auto" w:fill="auto"/>
            <w:noWrap/>
            <w:vAlign w:val="bottom"/>
            <w:hideMark/>
          </w:tcPr>
          <w:p w:rsidR="005E41EB" w:rsidRPr="005E41EB" w:rsidRDefault="005E41EB" w:rsidP="005E41EB">
            <w:pPr>
              <w:overflowPunct/>
              <w:autoSpaceDE/>
              <w:autoSpaceDN/>
              <w:adjustRightInd/>
              <w:jc w:val="right"/>
              <w:textAlignment w:val="auto"/>
              <w:rPr>
                <w:color w:val="000000"/>
              </w:rPr>
            </w:pPr>
            <w:r w:rsidRPr="005E41EB">
              <w:rPr>
                <w:color w:val="000000"/>
              </w:rPr>
              <w:t>78%</w:t>
            </w:r>
          </w:p>
        </w:tc>
        <w:tc>
          <w:tcPr>
            <w:tcW w:w="0" w:type="auto"/>
            <w:tcBorders>
              <w:top w:val="nil"/>
              <w:left w:val="nil"/>
              <w:bottom w:val="nil"/>
              <w:right w:val="nil"/>
            </w:tcBorders>
            <w:shd w:val="clear" w:color="auto" w:fill="auto"/>
            <w:noWrap/>
            <w:vAlign w:val="bottom"/>
            <w:hideMark/>
          </w:tcPr>
          <w:p w:rsidR="005E41EB" w:rsidRPr="005E41EB" w:rsidRDefault="005E41EB" w:rsidP="005E41EB">
            <w:pPr>
              <w:overflowPunct/>
              <w:autoSpaceDE/>
              <w:autoSpaceDN/>
              <w:adjustRightInd/>
              <w:textAlignment w:val="auto"/>
              <w:rPr>
                <w:color w:val="000000"/>
              </w:rPr>
            </w:pPr>
          </w:p>
        </w:tc>
        <w:tc>
          <w:tcPr>
            <w:tcW w:w="0" w:type="auto"/>
            <w:tcBorders>
              <w:top w:val="nil"/>
              <w:left w:val="nil"/>
              <w:bottom w:val="nil"/>
              <w:right w:val="nil"/>
            </w:tcBorders>
            <w:shd w:val="clear" w:color="auto" w:fill="auto"/>
            <w:noWrap/>
            <w:vAlign w:val="bottom"/>
            <w:hideMark/>
          </w:tcPr>
          <w:p w:rsidR="005E41EB" w:rsidRPr="005E41EB" w:rsidRDefault="005E41EB" w:rsidP="005E41EB">
            <w:pPr>
              <w:overflowPunct/>
              <w:autoSpaceDE/>
              <w:autoSpaceDN/>
              <w:adjustRightInd/>
              <w:textAlignment w:val="auto"/>
              <w:rPr>
                <w:color w:val="000000"/>
              </w:rPr>
            </w:pPr>
          </w:p>
        </w:tc>
        <w:tc>
          <w:tcPr>
            <w:tcW w:w="0" w:type="auto"/>
            <w:tcBorders>
              <w:top w:val="nil"/>
              <w:left w:val="nil"/>
              <w:bottom w:val="nil"/>
              <w:right w:val="nil"/>
            </w:tcBorders>
            <w:shd w:val="clear" w:color="auto" w:fill="auto"/>
            <w:noWrap/>
            <w:vAlign w:val="bottom"/>
            <w:hideMark/>
          </w:tcPr>
          <w:p w:rsidR="005E41EB" w:rsidRPr="005E41EB" w:rsidRDefault="005E41EB" w:rsidP="005E41EB">
            <w:pPr>
              <w:overflowPunct/>
              <w:autoSpaceDE/>
              <w:autoSpaceDN/>
              <w:adjustRightInd/>
              <w:textAlignment w:val="auto"/>
              <w:rPr>
                <w:color w:val="000000"/>
              </w:rPr>
            </w:pPr>
          </w:p>
        </w:tc>
      </w:tr>
      <w:tr w:rsidR="005E41EB" w:rsidRPr="005E41EB" w:rsidTr="00F044F4">
        <w:trPr>
          <w:trHeight w:val="20"/>
        </w:trPr>
        <w:tc>
          <w:tcPr>
            <w:tcW w:w="1939" w:type="dxa"/>
            <w:tcBorders>
              <w:top w:val="nil"/>
              <w:left w:val="nil"/>
              <w:bottom w:val="single" w:sz="12" w:space="0" w:color="auto"/>
              <w:right w:val="nil"/>
            </w:tcBorders>
            <w:shd w:val="clear" w:color="auto" w:fill="auto"/>
            <w:noWrap/>
            <w:vAlign w:val="bottom"/>
            <w:hideMark/>
          </w:tcPr>
          <w:p w:rsidR="005E41EB" w:rsidRPr="005E41EB" w:rsidRDefault="005E41EB" w:rsidP="005E41EB">
            <w:pPr>
              <w:overflowPunct/>
              <w:autoSpaceDE/>
              <w:autoSpaceDN/>
              <w:adjustRightInd/>
              <w:spacing w:after="60"/>
              <w:textAlignment w:val="auto"/>
              <w:rPr>
                <w:color w:val="000000"/>
              </w:rPr>
            </w:pPr>
            <w:r w:rsidRPr="005E41EB">
              <w:rPr>
                <w:color w:val="000000"/>
              </w:rPr>
              <w:t xml:space="preserve">CRE </w:t>
            </w:r>
            <w:r>
              <w:rPr>
                <w:color w:val="000000"/>
              </w:rPr>
              <w:t>T</w:t>
            </w:r>
            <w:r w:rsidRPr="005E41EB">
              <w:rPr>
                <w:color w:val="000000"/>
              </w:rPr>
              <w:t>ightening</w:t>
            </w:r>
          </w:p>
        </w:tc>
        <w:tc>
          <w:tcPr>
            <w:tcW w:w="0" w:type="auto"/>
            <w:tcBorders>
              <w:top w:val="nil"/>
              <w:left w:val="nil"/>
              <w:bottom w:val="single" w:sz="12" w:space="0" w:color="auto"/>
              <w:right w:val="nil"/>
            </w:tcBorders>
            <w:shd w:val="clear" w:color="auto" w:fill="auto"/>
            <w:noWrap/>
            <w:vAlign w:val="bottom"/>
            <w:hideMark/>
          </w:tcPr>
          <w:p w:rsidR="005E41EB" w:rsidRPr="005E41EB" w:rsidRDefault="005E41EB" w:rsidP="005E41EB">
            <w:pPr>
              <w:overflowPunct/>
              <w:autoSpaceDE/>
              <w:autoSpaceDN/>
              <w:adjustRightInd/>
              <w:spacing w:after="60"/>
              <w:jc w:val="right"/>
              <w:textAlignment w:val="auto"/>
              <w:rPr>
                <w:color w:val="000000"/>
              </w:rPr>
            </w:pPr>
            <w:r w:rsidRPr="005E41EB">
              <w:rPr>
                <w:color w:val="000000"/>
              </w:rPr>
              <w:t>1%</w:t>
            </w:r>
          </w:p>
        </w:tc>
        <w:tc>
          <w:tcPr>
            <w:tcW w:w="0" w:type="auto"/>
            <w:tcBorders>
              <w:top w:val="nil"/>
              <w:left w:val="nil"/>
              <w:bottom w:val="single" w:sz="12" w:space="0" w:color="auto"/>
              <w:right w:val="nil"/>
            </w:tcBorders>
            <w:shd w:val="clear" w:color="auto" w:fill="auto"/>
            <w:noWrap/>
            <w:vAlign w:val="bottom"/>
            <w:hideMark/>
          </w:tcPr>
          <w:p w:rsidR="005E41EB" w:rsidRPr="005E41EB" w:rsidRDefault="005E41EB" w:rsidP="005E41EB">
            <w:pPr>
              <w:overflowPunct/>
              <w:autoSpaceDE/>
              <w:autoSpaceDN/>
              <w:adjustRightInd/>
              <w:spacing w:after="60"/>
              <w:jc w:val="right"/>
              <w:textAlignment w:val="auto"/>
              <w:rPr>
                <w:color w:val="000000"/>
              </w:rPr>
            </w:pPr>
            <w:r w:rsidRPr="005E41EB">
              <w:rPr>
                <w:color w:val="000000"/>
              </w:rPr>
              <w:t>2%</w:t>
            </w:r>
          </w:p>
        </w:tc>
        <w:tc>
          <w:tcPr>
            <w:tcW w:w="0" w:type="auto"/>
            <w:tcBorders>
              <w:top w:val="nil"/>
              <w:left w:val="nil"/>
              <w:bottom w:val="single" w:sz="12" w:space="0" w:color="auto"/>
              <w:right w:val="nil"/>
            </w:tcBorders>
            <w:shd w:val="clear" w:color="auto" w:fill="auto"/>
            <w:noWrap/>
            <w:vAlign w:val="bottom"/>
            <w:hideMark/>
          </w:tcPr>
          <w:p w:rsidR="005E41EB" w:rsidRPr="005E41EB" w:rsidRDefault="005E41EB" w:rsidP="005E41EB">
            <w:pPr>
              <w:overflowPunct/>
              <w:autoSpaceDE/>
              <w:autoSpaceDN/>
              <w:adjustRightInd/>
              <w:spacing w:after="60"/>
              <w:jc w:val="right"/>
              <w:textAlignment w:val="auto"/>
              <w:rPr>
                <w:color w:val="000000"/>
              </w:rPr>
            </w:pPr>
            <w:r w:rsidRPr="005E41EB">
              <w:rPr>
                <w:color w:val="000000"/>
              </w:rPr>
              <w:t>2%</w:t>
            </w:r>
          </w:p>
        </w:tc>
        <w:tc>
          <w:tcPr>
            <w:tcW w:w="0" w:type="auto"/>
            <w:tcBorders>
              <w:top w:val="nil"/>
              <w:left w:val="nil"/>
              <w:bottom w:val="single" w:sz="12" w:space="0" w:color="auto"/>
              <w:right w:val="nil"/>
            </w:tcBorders>
            <w:shd w:val="clear" w:color="auto" w:fill="auto"/>
            <w:noWrap/>
            <w:vAlign w:val="bottom"/>
            <w:hideMark/>
          </w:tcPr>
          <w:p w:rsidR="005E41EB" w:rsidRPr="005E41EB" w:rsidRDefault="005E41EB" w:rsidP="005E41EB">
            <w:pPr>
              <w:overflowPunct/>
              <w:autoSpaceDE/>
              <w:autoSpaceDN/>
              <w:adjustRightInd/>
              <w:spacing w:after="60"/>
              <w:jc w:val="right"/>
              <w:textAlignment w:val="auto"/>
              <w:rPr>
                <w:color w:val="000000"/>
              </w:rPr>
            </w:pPr>
            <w:r w:rsidRPr="005E41EB">
              <w:rPr>
                <w:color w:val="000000"/>
              </w:rPr>
              <w:t>92%</w:t>
            </w:r>
          </w:p>
        </w:tc>
        <w:tc>
          <w:tcPr>
            <w:tcW w:w="0" w:type="auto"/>
            <w:tcBorders>
              <w:top w:val="nil"/>
              <w:left w:val="nil"/>
              <w:bottom w:val="single" w:sz="12" w:space="0" w:color="auto"/>
              <w:right w:val="nil"/>
            </w:tcBorders>
            <w:shd w:val="clear" w:color="auto" w:fill="auto"/>
            <w:noWrap/>
            <w:vAlign w:val="bottom"/>
            <w:hideMark/>
          </w:tcPr>
          <w:p w:rsidR="005E41EB" w:rsidRPr="005E41EB" w:rsidRDefault="005E41EB" w:rsidP="005E41EB">
            <w:pPr>
              <w:overflowPunct/>
              <w:autoSpaceDE/>
              <w:autoSpaceDN/>
              <w:adjustRightInd/>
              <w:spacing w:after="60"/>
              <w:jc w:val="right"/>
              <w:textAlignment w:val="auto"/>
              <w:rPr>
                <w:color w:val="000000"/>
              </w:rPr>
            </w:pPr>
            <w:r w:rsidRPr="005E41EB">
              <w:rPr>
                <w:color w:val="000000"/>
              </w:rPr>
              <w:t>82%</w:t>
            </w:r>
          </w:p>
        </w:tc>
        <w:tc>
          <w:tcPr>
            <w:tcW w:w="0" w:type="auto"/>
            <w:tcBorders>
              <w:top w:val="nil"/>
              <w:left w:val="nil"/>
              <w:bottom w:val="single" w:sz="12" w:space="0" w:color="auto"/>
              <w:right w:val="nil"/>
            </w:tcBorders>
            <w:shd w:val="clear" w:color="auto" w:fill="auto"/>
            <w:noWrap/>
            <w:vAlign w:val="bottom"/>
            <w:hideMark/>
          </w:tcPr>
          <w:p w:rsidR="005E41EB" w:rsidRPr="005E41EB" w:rsidRDefault="005E41EB" w:rsidP="005E41EB">
            <w:pPr>
              <w:overflowPunct/>
              <w:autoSpaceDE/>
              <w:autoSpaceDN/>
              <w:adjustRightInd/>
              <w:spacing w:after="60"/>
              <w:jc w:val="right"/>
              <w:textAlignment w:val="auto"/>
              <w:rPr>
                <w:color w:val="000000"/>
              </w:rPr>
            </w:pPr>
            <w:r w:rsidRPr="005E41EB">
              <w:rPr>
                <w:color w:val="000000"/>
              </w:rPr>
              <w:t>77%</w:t>
            </w:r>
          </w:p>
        </w:tc>
        <w:tc>
          <w:tcPr>
            <w:tcW w:w="0" w:type="auto"/>
            <w:tcBorders>
              <w:top w:val="nil"/>
              <w:left w:val="nil"/>
              <w:bottom w:val="single" w:sz="12" w:space="0" w:color="auto"/>
              <w:right w:val="nil"/>
            </w:tcBorders>
            <w:shd w:val="clear" w:color="auto" w:fill="auto"/>
            <w:noWrap/>
            <w:vAlign w:val="bottom"/>
            <w:hideMark/>
          </w:tcPr>
          <w:p w:rsidR="005E41EB" w:rsidRPr="005E41EB" w:rsidRDefault="005E41EB" w:rsidP="005E41EB">
            <w:pPr>
              <w:overflowPunct/>
              <w:autoSpaceDE/>
              <w:autoSpaceDN/>
              <w:adjustRightInd/>
              <w:spacing w:after="60"/>
              <w:jc w:val="right"/>
              <w:textAlignment w:val="auto"/>
              <w:rPr>
                <w:color w:val="000000"/>
              </w:rPr>
            </w:pPr>
            <w:r w:rsidRPr="005E41EB">
              <w:rPr>
                <w:color w:val="000000"/>
              </w:rPr>
              <w:t>3%</w:t>
            </w:r>
          </w:p>
        </w:tc>
        <w:tc>
          <w:tcPr>
            <w:tcW w:w="0" w:type="auto"/>
            <w:tcBorders>
              <w:top w:val="nil"/>
              <w:left w:val="nil"/>
              <w:bottom w:val="single" w:sz="12" w:space="0" w:color="auto"/>
              <w:right w:val="nil"/>
            </w:tcBorders>
            <w:shd w:val="clear" w:color="auto" w:fill="auto"/>
            <w:noWrap/>
            <w:vAlign w:val="bottom"/>
            <w:hideMark/>
          </w:tcPr>
          <w:p w:rsidR="005E41EB" w:rsidRPr="005E41EB" w:rsidRDefault="005E41EB" w:rsidP="005E41EB">
            <w:pPr>
              <w:overflowPunct/>
              <w:autoSpaceDE/>
              <w:autoSpaceDN/>
              <w:adjustRightInd/>
              <w:spacing w:after="60"/>
              <w:jc w:val="right"/>
              <w:textAlignment w:val="auto"/>
              <w:rPr>
                <w:color w:val="000000"/>
              </w:rPr>
            </w:pPr>
            <w:r w:rsidRPr="005E41EB">
              <w:rPr>
                <w:color w:val="000000"/>
              </w:rPr>
              <w:t>12%</w:t>
            </w:r>
          </w:p>
        </w:tc>
        <w:tc>
          <w:tcPr>
            <w:tcW w:w="0" w:type="auto"/>
            <w:tcBorders>
              <w:top w:val="nil"/>
              <w:left w:val="nil"/>
              <w:bottom w:val="single" w:sz="12" w:space="0" w:color="auto"/>
              <w:right w:val="nil"/>
            </w:tcBorders>
            <w:shd w:val="clear" w:color="auto" w:fill="auto"/>
            <w:noWrap/>
            <w:vAlign w:val="bottom"/>
            <w:hideMark/>
          </w:tcPr>
          <w:p w:rsidR="005E41EB" w:rsidRPr="005E41EB" w:rsidRDefault="005E41EB" w:rsidP="005E41EB">
            <w:pPr>
              <w:overflowPunct/>
              <w:autoSpaceDE/>
              <w:autoSpaceDN/>
              <w:adjustRightInd/>
              <w:spacing w:after="60"/>
              <w:jc w:val="right"/>
              <w:textAlignment w:val="auto"/>
              <w:rPr>
                <w:color w:val="000000"/>
              </w:rPr>
            </w:pPr>
            <w:r w:rsidRPr="005E41EB">
              <w:rPr>
                <w:color w:val="000000"/>
              </w:rPr>
              <w:t>21%</w:t>
            </w:r>
          </w:p>
        </w:tc>
        <w:tc>
          <w:tcPr>
            <w:tcW w:w="0" w:type="auto"/>
            <w:tcBorders>
              <w:top w:val="nil"/>
              <w:left w:val="nil"/>
              <w:bottom w:val="single" w:sz="12" w:space="0" w:color="auto"/>
              <w:right w:val="nil"/>
            </w:tcBorders>
            <w:shd w:val="clear" w:color="auto" w:fill="auto"/>
            <w:noWrap/>
            <w:vAlign w:val="bottom"/>
            <w:hideMark/>
          </w:tcPr>
          <w:p w:rsidR="005E41EB" w:rsidRPr="005E41EB" w:rsidRDefault="005E41EB" w:rsidP="005E41EB">
            <w:pPr>
              <w:overflowPunct/>
              <w:autoSpaceDE/>
              <w:autoSpaceDN/>
              <w:adjustRightInd/>
              <w:textAlignment w:val="auto"/>
              <w:rPr>
                <w:color w:val="000000"/>
              </w:rPr>
            </w:pPr>
          </w:p>
        </w:tc>
        <w:tc>
          <w:tcPr>
            <w:tcW w:w="0" w:type="auto"/>
            <w:tcBorders>
              <w:top w:val="nil"/>
              <w:left w:val="nil"/>
              <w:bottom w:val="single" w:sz="12" w:space="0" w:color="auto"/>
              <w:right w:val="nil"/>
            </w:tcBorders>
            <w:shd w:val="clear" w:color="auto" w:fill="auto"/>
            <w:noWrap/>
            <w:vAlign w:val="bottom"/>
            <w:hideMark/>
          </w:tcPr>
          <w:p w:rsidR="005E41EB" w:rsidRPr="005E41EB" w:rsidRDefault="005E41EB" w:rsidP="005E41EB">
            <w:pPr>
              <w:overflowPunct/>
              <w:autoSpaceDE/>
              <w:autoSpaceDN/>
              <w:adjustRightInd/>
              <w:textAlignment w:val="auto"/>
              <w:rPr>
                <w:color w:val="000000"/>
              </w:rPr>
            </w:pPr>
          </w:p>
        </w:tc>
        <w:tc>
          <w:tcPr>
            <w:tcW w:w="0" w:type="auto"/>
            <w:tcBorders>
              <w:top w:val="nil"/>
              <w:left w:val="nil"/>
              <w:bottom w:val="single" w:sz="12" w:space="0" w:color="auto"/>
              <w:right w:val="nil"/>
            </w:tcBorders>
            <w:shd w:val="clear" w:color="auto" w:fill="auto"/>
            <w:noWrap/>
            <w:vAlign w:val="bottom"/>
            <w:hideMark/>
          </w:tcPr>
          <w:p w:rsidR="005E41EB" w:rsidRPr="005E41EB" w:rsidRDefault="005E41EB" w:rsidP="005E41EB">
            <w:pPr>
              <w:overflowPunct/>
              <w:autoSpaceDE/>
              <w:autoSpaceDN/>
              <w:adjustRightInd/>
              <w:textAlignment w:val="auto"/>
              <w:rPr>
                <w:color w:val="000000"/>
              </w:rPr>
            </w:pPr>
          </w:p>
        </w:tc>
      </w:tr>
      <w:tr w:rsidR="005E41EB" w:rsidRPr="005E41EB" w:rsidTr="00F044F4">
        <w:trPr>
          <w:trHeight w:val="20"/>
        </w:trPr>
        <w:tc>
          <w:tcPr>
            <w:tcW w:w="9004" w:type="dxa"/>
            <w:gridSpan w:val="13"/>
            <w:tcBorders>
              <w:top w:val="single" w:sz="12" w:space="0" w:color="auto"/>
              <w:left w:val="nil"/>
              <w:bottom w:val="nil"/>
              <w:right w:val="nil"/>
            </w:tcBorders>
            <w:shd w:val="clear" w:color="auto" w:fill="auto"/>
            <w:noWrap/>
            <w:vAlign w:val="bottom"/>
            <w:hideMark/>
          </w:tcPr>
          <w:p w:rsidR="005E41EB" w:rsidRPr="005E41EB" w:rsidRDefault="005E41EB" w:rsidP="00A17102">
            <w:pPr>
              <w:overflowPunct/>
              <w:autoSpaceDE/>
              <w:autoSpaceDN/>
              <w:adjustRightInd/>
              <w:spacing w:before="80"/>
              <w:textAlignment w:val="auto"/>
              <w:rPr>
                <w:color w:val="000000"/>
              </w:rPr>
            </w:pPr>
            <w:r w:rsidRPr="005E41EB">
              <w:rPr>
                <w:b/>
                <w:bCs/>
                <w:color w:val="000000"/>
              </w:rPr>
              <w:t xml:space="preserve">Panel B. </w:t>
            </w:r>
            <w:r w:rsidR="001F61F1">
              <w:rPr>
                <w:color w:val="000000"/>
              </w:rPr>
              <w:t xml:space="preserve"> VAR</w:t>
            </w:r>
            <w:r w:rsidR="00A17102">
              <w:rPr>
                <w:color w:val="000000"/>
              </w:rPr>
              <w:t>:</w:t>
            </w:r>
            <w:r w:rsidRPr="005E41EB">
              <w:rPr>
                <w:color w:val="000000"/>
              </w:rPr>
              <w:t>4</w:t>
            </w:r>
          </w:p>
        </w:tc>
      </w:tr>
      <w:tr w:rsidR="005E41EB" w:rsidRPr="005E41EB" w:rsidTr="00F044F4">
        <w:trPr>
          <w:trHeight w:val="20"/>
        </w:trPr>
        <w:tc>
          <w:tcPr>
            <w:tcW w:w="1939" w:type="dxa"/>
            <w:tcBorders>
              <w:top w:val="nil"/>
              <w:left w:val="nil"/>
              <w:bottom w:val="nil"/>
              <w:right w:val="nil"/>
            </w:tcBorders>
            <w:shd w:val="clear" w:color="auto" w:fill="auto"/>
            <w:noWrap/>
            <w:vAlign w:val="bottom"/>
            <w:hideMark/>
          </w:tcPr>
          <w:p w:rsidR="005E41EB" w:rsidRPr="005E41EB" w:rsidRDefault="005E41EB" w:rsidP="005E41EB">
            <w:pPr>
              <w:overflowPunct/>
              <w:autoSpaceDE/>
              <w:autoSpaceDN/>
              <w:adjustRightInd/>
              <w:jc w:val="right"/>
              <w:textAlignment w:val="auto"/>
              <w:rPr>
                <w:i/>
                <w:color w:val="000000"/>
              </w:rPr>
            </w:pPr>
            <w:r w:rsidRPr="005E41EB">
              <w:rPr>
                <w:i/>
                <w:color w:val="000000"/>
              </w:rPr>
              <w:t>Variance of:</w:t>
            </w:r>
          </w:p>
        </w:tc>
        <w:tc>
          <w:tcPr>
            <w:tcW w:w="0" w:type="auto"/>
            <w:gridSpan w:val="3"/>
            <w:tcBorders>
              <w:top w:val="nil"/>
              <w:left w:val="nil"/>
              <w:bottom w:val="nil"/>
              <w:right w:val="nil"/>
            </w:tcBorders>
            <w:shd w:val="clear" w:color="auto" w:fill="auto"/>
            <w:noWrap/>
            <w:vAlign w:val="bottom"/>
            <w:hideMark/>
          </w:tcPr>
          <w:p w:rsidR="005E41EB" w:rsidRPr="005E41EB" w:rsidRDefault="005E41EB" w:rsidP="005E41EB">
            <w:pPr>
              <w:overflowPunct/>
              <w:autoSpaceDE/>
              <w:autoSpaceDN/>
              <w:adjustRightInd/>
              <w:jc w:val="center"/>
              <w:textAlignment w:val="auto"/>
              <w:rPr>
                <w:i/>
                <w:iCs/>
                <w:color w:val="000000"/>
              </w:rPr>
            </w:pPr>
            <w:r w:rsidRPr="005E41EB">
              <w:rPr>
                <w:i/>
                <w:iCs/>
                <w:color w:val="000000"/>
              </w:rPr>
              <w:t>Income Returns</w:t>
            </w:r>
          </w:p>
        </w:tc>
        <w:tc>
          <w:tcPr>
            <w:tcW w:w="0" w:type="auto"/>
            <w:gridSpan w:val="3"/>
            <w:tcBorders>
              <w:top w:val="nil"/>
              <w:left w:val="nil"/>
              <w:bottom w:val="nil"/>
              <w:right w:val="nil"/>
            </w:tcBorders>
            <w:shd w:val="clear" w:color="auto" w:fill="auto"/>
            <w:noWrap/>
            <w:vAlign w:val="bottom"/>
            <w:hideMark/>
          </w:tcPr>
          <w:p w:rsidR="005E41EB" w:rsidRPr="005E41EB" w:rsidRDefault="005E41EB" w:rsidP="005E41EB">
            <w:pPr>
              <w:overflowPunct/>
              <w:autoSpaceDE/>
              <w:autoSpaceDN/>
              <w:adjustRightInd/>
              <w:jc w:val="center"/>
              <w:textAlignment w:val="auto"/>
              <w:rPr>
                <w:i/>
                <w:iCs/>
                <w:color w:val="000000"/>
              </w:rPr>
            </w:pPr>
            <w:r w:rsidRPr="005E41EB">
              <w:rPr>
                <w:i/>
                <w:iCs/>
                <w:color w:val="000000"/>
              </w:rPr>
              <w:t>CRE Tightening</w:t>
            </w:r>
          </w:p>
        </w:tc>
        <w:tc>
          <w:tcPr>
            <w:tcW w:w="0" w:type="auto"/>
            <w:gridSpan w:val="3"/>
            <w:tcBorders>
              <w:top w:val="nil"/>
              <w:left w:val="nil"/>
              <w:bottom w:val="nil"/>
              <w:right w:val="nil"/>
            </w:tcBorders>
            <w:shd w:val="clear" w:color="auto" w:fill="auto"/>
            <w:noWrap/>
            <w:vAlign w:val="bottom"/>
            <w:hideMark/>
          </w:tcPr>
          <w:p w:rsidR="005E41EB" w:rsidRPr="005E41EB" w:rsidRDefault="005E41EB" w:rsidP="005E41EB">
            <w:pPr>
              <w:overflowPunct/>
              <w:autoSpaceDE/>
              <w:autoSpaceDN/>
              <w:adjustRightInd/>
              <w:jc w:val="center"/>
              <w:textAlignment w:val="auto"/>
              <w:rPr>
                <w:i/>
                <w:iCs/>
                <w:color w:val="000000"/>
              </w:rPr>
            </w:pPr>
            <w:r w:rsidRPr="005E41EB">
              <w:rPr>
                <w:i/>
                <w:iCs/>
                <w:color w:val="000000"/>
              </w:rPr>
              <w:t xml:space="preserve">Capital </w:t>
            </w:r>
            <w:r>
              <w:rPr>
                <w:i/>
                <w:iCs/>
                <w:color w:val="000000"/>
              </w:rPr>
              <w:t>G</w:t>
            </w:r>
            <w:r w:rsidRPr="005E41EB">
              <w:rPr>
                <w:i/>
                <w:iCs/>
                <w:color w:val="000000"/>
              </w:rPr>
              <w:t>ains</w:t>
            </w:r>
          </w:p>
        </w:tc>
        <w:tc>
          <w:tcPr>
            <w:tcW w:w="0" w:type="auto"/>
            <w:gridSpan w:val="3"/>
            <w:tcBorders>
              <w:top w:val="nil"/>
              <w:left w:val="nil"/>
              <w:bottom w:val="nil"/>
              <w:right w:val="nil"/>
            </w:tcBorders>
            <w:shd w:val="clear" w:color="auto" w:fill="auto"/>
            <w:noWrap/>
            <w:vAlign w:val="bottom"/>
            <w:hideMark/>
          </w:tcPr>
          <w:p w:rsidR="005E41EB" w:rsidRPr="005E41EB" w:rsidRDefault="005E41EB" w:rsidP="005E41EB">
            <w:pPr>
              <w:overflowPunct/>
              <w:autoSpaceDE/>
              <w:autoSpaceDN/>
              <w:adjustRightInd/>
              <w:jc w:val="center"/>
              <w:textAlignment w:val="auto"/>
              <w:rPr>
                <w:i/>
                <w:iCs/>
                <w:color w:val="000000"/>
              </w:rPr>
            </w:pPr>
            <w:r w:rsidRPr="005E41EB">
              <w:rPr>
                <w:i/>
                <w:iCs/>
                <w:color w:val="000000"/>
              </w:rPr>
              <w:t>Volume</w:t>
            </w:r>
          </w:p>
        </w:tc>
      </w:tr>
      <w:tr w:rsidR="005E41EB" w:rsidRPr="005E41EB" w:rsidTr="00F044F4">
        <w:trPr>
          <w:trHeight w:val="20"/>
        </w:trPr>
        <w:tc>
          <w:tcPr>
            <w:tcW w:w="1939" w:type="dxa"/>
            <w:tcBorders>
              <w:top w:val="nil"/>
              <w:left w:val="nil"/>
              <w:bottom w:val="double" w:sz="6" w:space="0" w:color="auto"/>
              <w:right w:val="nil"/>
            </w:tcBorders>
            <w:shd w:val="clear" w:color="auto" w:fill="auto"/>
            <w:noWrap/>
            <w:vAlign w:val="bottom"/>
            <w:hideMark/>
          </w:tcPr>
          <w:p w:rsidR="005E41EB" w:rsidRPr="005E41EB" w:rsidRDefault="00C902DA" w:rsidP="00C902DA">
            <w:pPr>
              <w:overflowPunct/>
              <w:autoSpaceDE/>
              <w:autoSpaceDN/>
              <w:adjustRightInd/>
              <w:jc w:val="right"/>
              <w:textAlignment w:val="auto"/>
              <w:rPr>
                <w:color w:val="000000"/>
              </w:rPr>
            </w:pPr>
            <w:r>
              <w:rPr>
                <w:color w:val="000000"/>
              </w:rPr>
              <w:t>Forecast period:</w:t>
            </w:r>
          </w:p>
        </w:tc>
        <w:tc>
          <w:tcPr>
            <w:tcW w:w="0" w:type="auto"/>
            <w:tcBorders>
              <w:top w:val="nil"/>
              <w:left w:val="nil"/>
              <w:bottom w:val="double" w:sz="6" w:space="0" w:color="auto"/>
              <w:right w:val="nil"/>
            </w:tcBorders>
            <w:shd w:val="clear" w:color="auto" w:fill="auto"/>
            <w:noWrap/>
            <w:vAlign w:val="bottom"/>
            <w:hideMark/>
          </w:tcPr>
          <w:p w:rsidR="005E41EB" w:rsidRPr="005E41EB" w:rsidRDefault="005E41EB" w:rsidP="005E41EB">
            <w:pPr>
              <w:overflowPunct/>
              <w:autoSpaceDE/>
              <w:autoSpaceDN/>
              <w:adjustRightInd/>
              <w:jc w:val="center"/>
              <w:textAlignment w:val="auto"/>
              <w:rPr>
                <w:color w:val="000000"/>
              </w:rPr>
            </w:pPr>
            <w:r w:rsidRPr="005E41EB">
              <w:rPr>
                <w:color w:val="000000"/>
              </w:rPr>
              <w:t>4</w:t>
            </w:r>
          </w:p>
        </w:tc>
        <w:tc>
          <w:tcPr>
            <w:tcW w:w="0" w:type="auto"/>
            <w:tcBorders>
              <w:top w:val="nil"/>
              <w:left w:val="nil"/>
              <w:bottom w:val="double" w:sz="6" w:space="0" w:color="auto"/>
              <w:right w:val="nil"/>
            </w:tcBorders>
            <w:shd w:val="clear" w:color="auto" w:fill="auto"/>
            <w:noWrap/>
            <w:vAlign w:val="bottom"/>
            <w:hideMark/>
          </w:tcPr>
          <w:p w:rsidR="005E41EB" w:rsidRPr="005E41EB" w:rsidRDefault="005E41EB" w:rsidP="005E41EB">
            <w:pPr>
              <w:overflowPunct/>
              <w:autoSpaceDE/>
              <w:autoSpaceDN/>
              <w:adjustRightInd/>
              <w:jc w:val="center"/>
              <w:textAlignment w:val="auto"/>
              <w:rPr>
                <w:color w:val="000000"/>
              </w:rPr>
            </w:pPr>
            <w:r w:rsidRPr="005E41EB">
              <w:rPr>
                <w:color w:val="000000"/>
              </w:rPr>
              <w:t>8</w:t>
            </w:r>
          </w:p>
        </w:tc>
        <w:tc>
          <w:tcPr>
            <w:tcW w:w="0" w:type="auto"/>
            <w:tcBorders>
              <w:top w:val="nil"/>
              <w:left w:val="nil"/>
              <w:bottom w:val="double" w:sz="6" w:space="0" w:color="auto"/>
              <w:right w:val="nil"/>
            </w:tcBorders>
            <w:shd w:val="clear" w:color="auto" w:fill="auto"/>
            <w:noWrap/>
            <w:vAlign w:val="bottom"/>
            <w:hideMark/>
          </w:tcPr>
          <w:p w:rsidR="005E41EB" w:rsidRPr="005E41EB" w:rsidRDefault="005E41EB" w:rsidP="005E41EB">
            <w:pPr>
              <w:overflowPunct/>
              <w:autoSpaceDE/>
              <w:autoSpaceDN/>
              <w:adjustRightInd/>
              <w:jc w:val="center"/>
              <w:textAlignment w:val="auto"/>
              <w:rPr>
                <w:color w:val="000000"/>
              </w:rPr>
            </w:pPr>
            <w:r w:rsidRPr="005E41EB">
              <w:rPr>
                <w:color w:val="000000"/>
              </w:rPr>
              <w:t>12</w:t>
            </w:r>
          </w:p>
        </w:tc>
        <w:tc>
          <w:tcPr>
            <w:tcW w:w="0" w:type="auto"/>
            <w:tcBorders>
              <w:top w:val="nil"/>
              <w:left w:val="nil"/>
              <w:bottom w:val="double" w:sz="6" w:space="0" w:color="auto"/>
              <w:right w:val="nil"/>
            </w:tcBorders>
            <w:shd w:val="clear" w:color="auto" w:fill="auto"/>
            <w:noWrap/>
            <w:vAlign w:val="bottom"/>
            <w:hideMark/>
          </w:tcPr>
          <w:p w:rsidR="005E41EB" w:rsidRPr="005E41EB" w:rsidRDefault="005E41EB" w:rsidP="005E41EB">
            <w:pPr>
              <w:overflowPunct/>
              <w:autoSpaceDE/>
              <w:autoSpaceDN/>
              <w:adjustRightInd/>
              <w:jc w:val="center"/>
              <w:textAlignment w:val="auto"/>
              <w:rPr>
                <w:color w:val="000000"/>
              </w:rPr>
            </w:pPr>
            <w:r w:rsidRPr="005E41EB">
              <w:rPr>
                <w:color w:val="000000"/>
              </w:rPr>
              <w:t>4</w:t>
            </w:r>
          </w:p>
        </w:tc>
        <w:tc>
          <w:tcPr>
            <w:tcW w:w="0" w:type="auto"/>
            <w:tcBorders>
              <w:top w:val="nil"/>
              <w:left w:val="nil"/>
              <w:bottom w:val="double" w:sz="6" w:space="0" w:color="auto"/>
              <w:right w:val="nil"/>
            </w:tcBorders>
            <w:shd w:val="clear" w:color="auto" w:fill="auto"/>
            <w:noWrap/>
            <w:vAlign w:val="bottom"/>
            <w:hideMark/>
          </w:tcPr>
          <w:p w:rsidR="005E41EB" w:rsidRPr="005E41EB" w:rsidRDefault="005E41EB" w:rsidP="005E41EB">
            <w:pPr>
              <w:overflowPunct/>
              <w:autoSpaceDE/>
              <w:autoSpaceDN/>
              <w:adjustRightInd/>
              <w:jc w:val="center"/>
              <w:textAlignment w:val="auto"/>
              <w:rPr>
                <w:color w:val="000000"/>
              </w:rPr>
            </w:pPr>
            <w:r w:rsidRPr="005E41EB">
              <w:rPr>
                <w:color w:val="000000"/>
              </w:rPr>
              <w:t>8</w:t>
            </w:r>
          </w:p>
        </w:tc>
        <w:tc>
          <w:tcPr>
            <w:tcW w:w="0" w:type="auto"/>
            <w:tcBorders>
              <w:top w:val="nil"/>
              <w:left w:val="nil"/>
              <w:bottom w:val="double" w:sz="6" w:space="0" w:color="auto"/>
              <w:right w:val="nil"/>
            </w:tcBorders>
            <w:shd w:val="clear" w:color="auto" w:fill="auto"/>
            <w:noWrap/>
            <w:vAlign w:val="bottom"/>
            <w:hideMark/>
          </w:tcPr>
          <w:p w:rsidR="005E41EB" w:rsidRPr="005E41EB" w:rsidRDefault="005E41EB" w:rsidP="005E41EB">
            <w:pPr>
              <w:overflowPunct/>
              <w:autoSpaceDE/>
              <w:autoSpaceDN/>
              <w:adjustRightInd/>
              <w:jc w:val="center"/>
              <w:textAlignment w:val="auto"/>
              <w:rPr>
                <w:color w:val="000000"/>
              </w:rPr>
            </w:pPr>
            <w:r w:rsidRPr="005E41EB">
              <w:rPr>
                <w:color w:val="000000"/>
              </w:rPr>
              <w:t>12</w:t>
            </w:r>
          </w:p>
        </w:tc>
        <w:tc>
          <w:tcPr>
            <w:tcW w:w="0" w:type="auto"/>
            <w:tcBorders>
              <w:top w:val="nil"/>
              <w:left w:val="nil"/>
              <w:bottom w:val="double" w:sz="6" w:space="0" w:color="auto"/>
              <w:right w:val="nil"/>
            </w:tcBorders>
            <w:shd w:val="clear" w:color="auto" w:fill="auto"/>
            <w:noWrap/>
            <w:vAlign w:val="bottom"/>
            <w:hideMark/>
          </w:tcPr>
          <w:p w:rsidR="005E41EB" w:rsidRPr="005E41EB" w:rsidRDefault="005E41EB" w:rsidP="005E41EB">
            <w:pPr>
              <w:overflowPunct/>
              <w:autoSpaceDE/>
              <w:autoSpaceDN/>
              <w:adjustRightInd/>
              <w:jc w:val="center"/>
              <w:textAlignment w:val="auto"/>
              <w:rPr>
                <w:color w:val="000000"/>
              </w:rPr>
            </w:pPr>
            <w:r w:rsidRPr="005E41EB">
              <w:rPr>
                <w:color w:val="000000"/>
              </w:rPr>
              <w:t>4</w:t>
            </w:r>
          </w:p>
        </w:tc>
        <w:tc>
          <w:tcPr>
            <w:tcW w:w="0" w:type="auto"/>
            <w:tcBorders>
              <w:top w:val="nil"/>
              <w:left w:val="nil"/>
              <w:bottom w:val="double" w:sz="6" w:space="0" w:color="auto"/>
              <w:right w:val="nil"/>
            </w:tcBorders>
            <w:shd w:val="clear" w:color="auto" w:fill="auto"/>
            <w:noWrap/>
            <w:vAlign w:val="bottom"/>
            <w:hideMark/>
          </w:tcPr>
          <w:p w:rsidR="005E41EB" w:rsidRPr="005E41EB" w:rsidRDefault="005E41EB" w:rsidP="005E41EB">
            <w:pPr>
              <w:overflowPunct/>
              <w:autoSpaceDE/>
              <w:autoSpaceDN/>
              <w:adjustRightInd/>
              <w:jc w:val="center"/>
              <w:textAlignment w:val="auto"/>
              <w:rPr>
                <w:color w:val="000000"/>
              </w:rPr>
            </w:pPr>
            <w:r w:rsidRPr="005E41EB">
              <w:rPr>
                <w:color w:val="000000"/>
              </w:rPr>
              <w:t>8</w:t>
            </w:r>
          </w:p>
        </w:tc>
        <w:tc>
          <w:tcPr>
            <w:tcW w:w="0" w:type="auto"/>
            <w:tcBorders>
              <w:top w:val="nil"/>
              <w:left w:val="nil"/>
              <w:bottom w:val="double" w:sz="6" w:space="0" w:color="auto"/>
              <w:right w:val="nil"/>
            </w:tcBorders>
            <w:shd w:val="clear" w:color="auto" w:fill="auto"/>
            <w:noWrap/>
            <w:vAlign w:val="bottom"/>
            <w:hideMark/>
          </w:tcPr>
          <w:p w:rsidR="005E41EB" w:rsidRPr="005E41EB" w:rsidRDefault="005E41EB" w:rsidP="005E41EB">
            <w:pPr>
              <w:overflowPunct/>
              <w:autoSpaceDE/>
              <w:autoSpaceDN/>
              <w:adjustRightInd/>
              <w:jc w:val="center"/>
              <w:textAlignment w:val="auto"/>
              <w:rPr>
                <w:color w:val="000000"/>
              </w:rPr>
            </w:pPr>
            <w:r w:rsidRPr="005E41EB">
              <w:rPr>
                <w:color w:val="000000"/>
              </w:rPr>
              <w:t>12</w:t>
            </w:r>
          </w:p>
        </w:tc>
        <w:tc>
          <w:tcPr>
            <w:tcW w:w="0" w:type="auto"/>
            <w:tcBorders>
              <w:top w:val="nil"/>
              <w:left w:val="nil"/>
              <w:bottom w:val="double" w:sz="6" w:space="0" w:color="auto"/>
              <w:right w:val="nil"/>
            </w:tcBorders>
            <w:shd w:val="clear" w:color="auto" w:fill="auto"/>
            <w:noWrap/>
            <w:vAlign w:val="bottom"/>
            <w:hideMark/>
          </w:tcPr>
          <w:p w:rsidR="005E41EB" w:rsidRPr="005E41EB" w:rsidRDefault="005E41EB" w:rsidP="005E41EB">
            <w:pPr>
              <w:overflowPunct/>
              <w:autoSpaceDE/>
              <w:autoSpaceDN/>
              <w:adjustRightInd/>
              <w:jc w:val="center"/>
              <w:textAlignment w:val="auto"/>
              <w:rPr>
                <w:color w:val="000000"/>
              </w:rPr>
            </w:pPr>
            <w:r w:rsidRPr="005E41EB">
              <w:rPr>
                <w:color w:val="000000"/>
              </w:rPr>
              <w:t>4</w:t>
            </w:r>
          </w:p>
        </w:tc>
        <w:tc>
          <w:tcPr>
            <w:tcW w:w="0" w:type="auto"/>
            <w:tcBorders>
              <w:top w:val="nil"/>
              <w:left w:val="nil"/>
              <w:bottom w:val="double" w:sz="6" w:space="0" w:color="auto"/>
              <w:right w:val="nil"/>
            </w:tcBorders>
            <w:shd w:val="clear" w:color="auto" w:fill="auto"/>
            <w:noWrap/>
            <w:vAlign w:val="bottom"/>
            <w:hideMark/>
          </w:tcPr>
          <w:p w:rsidR="005E41EB" w:rsidRPr="005E41EB" w:rsidRDefault="005E41EB" w:rsidP="005E41EB">
            <w:pPr>
              <w:overflowPunct/>
              <w:autoSpaceDE/>
              <w:autoSpaceDN/>
              <w:adjustRightInd/>
              <w:jc w:val="center"/>
              <w:textAlignment w:val="auto"/>
              <w:rPr>
                <w:color w:val="000000"/>
              </w:rPr>
            </w:pPr>
            <w:r w:rsidRPr="005E41EB">
              <w:rPr>
                <w:color w:val="000000"/>
              </w:rPr>
              <w:t>8</w:t>
            </w:r>
          </w:p>
        </w:tc>
        <w:tc>
          <w:tcPr>
            <w:tcW w:w="0" w:type="auto"/>
            <w:tcBorders>
              <w:top w:val="nil"/>
              <w:left w:val="nil"/>
              <w:bottom w:val="double" w:sz="6" w:space="0" w:color="auto"/>
              <w:right w:val="nil"/>
            </w:tcBorders>
            <w:shd w:val="clear" w:color="auto" w:fill="auto"/>
            <w:noWrap/>
            <w:vAlign w:val="bottom"/>
            <w:hideMark/>
          </w:tcPr>
          <w:p w:rsidR="005E41EB" w:rsidRPr="005E41EB" w:rsidRDefault="005E41EB" w:rsidP="005E41EB">
            <w:pPr>
              <w:overflowPunct/>
              <w:autoSpaceDE/>
              <w:autoSpaceDN/>
              <w:adjustRightInd/>
              <w:jc w:val="center"/>
              <w:textAlignment w:val="auto"/>
              <w:rPr>
                <w:color w:val="000000"/>
              </w:rPr>
            </w:pPr>
            <w:r w:rsidRPr="005E41EB">
              <w:rPr>
                <w:color w:val="000000"/>
              </w:rPr>
              <w:t>12</w:t>
            </w:r>
          </w:p>
        </w:tc>
      </w:tr>
      <w:tr w:rsidR="005E41EB" w:rsidRPr="005E41EB" w:rsidTr="00F044F4">
        <w:trPr>
          <w:trHeight w:val="20"/>
        </w:trPr>
        <w:tc>
          <w:tcPr>
            <w:tcW w:w="1939" w:type="dxa"/>
            <w:tcBorders>
              <w:top w:val="nil"/>
              <w:left w:val="nil"/>
              <w:bottom w:val="nil"/>
              <w:right w:val="nil"/>
            </w:tcBorders>
            <w:shd w:val="clear" w:color="auto" w:fill="auto"/>
            <w:noWrap/>
            <w:vAlign w:val="bottom"/>
            <w:hideMark/>
          </w:tcPr>
          <w:p w:rsidR="005E41EB" w:rsidRPr="005E41EB" w:rsidRDefault="005E41EB" w:rsidP="005E41EB">
            <w:pPr>
              <w:overflowPunct/>
              <w:autoSpaceDE/>
              <w:autoSpaceDN/>
              <w:adjustRightInd/>
              <w:spacing w:before="60"/>
              <w:textAlignment w:val="auto"/>
              <w:rPr>
                <w:color w:val="000000"/>
              </w:rPr>
            </w:pPr>
            <w:r w:rsidRPr="005E41EB">
              <w:rPr>
                <w:color w:val="000000"/>
              </w:rPr>
              <w:t>Income Returns</w:t>
            </w:r>
          </w:p>
        </w:tc>
        <w:tc>
          <w:tcPr>
            <w:tcW w:w="0" w:type="auto"/>
            <w:tcBorders>
              <w:top w:val="nil"/>
              <w:left w:val="nil"/>
              <w:bottom w:val="nil"/>
              <w:right w:val="nil"/>
            </w:tcBorders>
            <w:shd w:val="clear" w:color="auto" w:fill="auto"/>
            <w:noWrap/>
            <w:vAlign w:val="bottom"/>
            <w:hideMark/>
          </w:tcPr>
          <w:p w:rsidR="005E41EB" w:rsidRPr="005E41EB" w:rsidRDefault="005E41EB" w:rsidP="005E41EB">
            <w:pPr>
              <w:overflowPunct/>
              <w:autoSpaceDE/>
              <w:autoSpaceDN/>
              <w:adjustRightInd/>
              <w:spacing w:before="60"/>
              <w:jc w:val="right"/>
              <w:textAlignment w:val="auto"/>
              <w:rPr>
                <w:color w:val="000000"/>
              </w:rPr>
            </w:pPr>
            <w:r w:rsidRPr="005E41EB">
              <w:rPr>
                <w:color w:val="000000"/>
              </w:rPr>
              <w:t>75%</w:t>
            </w:r>
          </w:p>
        </w:tc>
        <w:tc>
          <w:tcPr>
            <w:tcW w:w="0" w:type="auto"/>
            <w:tcBorders>
              <w:top w:val="nil"/>
              <w:left w:val="nil"/>
              <w:bottom w:val="nil"/>
              <w:right w:val="nil"/>
            </w:tcBorders>
            <w:shd w:val="clear" w:color="auto" w:fill="auto"/>
            <w:noWrap/>
            <w:vAlign w:val="bottom"/>
            <w:hideMark/>
          </w:tcPr>
          <w:p w:rsidR="005E41EB" w:rsidRPr="005E41EB" w:rsidRDefault="005E41EB" w:rsidP="005E41EB">
            <w:pPr>
              <w:overflowPunct/>
              <w:autoSpaceDE/>
              <w:autoSpaceDN/>
              <w:adjustRightInd/>
              <w:spacing w:before="60"/>
              <w:jc w:val="right"/>
              <w:textAlignment w:val="auto"/>
              <w:rPr>
                <w:color w:val="000000"/>
              </w:rPr>
            </w:pPr>
            <w:r w:rsidRPr="005E41EB">
              <w:rPr>
                <w:color w:val="000000"/>
              </w:rPr>
              <w:t>56%</w:t>
            </w:r>
          </w:p>
        </w:tc>
        <w:tc>
          <w:tcPr>
            <w:tcW w:w="0" w:type="auto"/>
            <w:tcBorders>
              <w:top w:val="nil"/>
              <w:left w:val="nil"/>
              <w:bottom w:val="nil"/>
              <w:right w:val="nil"/>
            </w:tcBorders>
            <w:shd w:val="clear" w:color="auto" w:fill="auto"/>
            <w:noWrap/>
            <w:vAlign w:val="bottom"/>
            <w:hideMark/>
          </w:tcPr>
          <w:p w:rsidR="005E41EB" w:rsidRPr="005E41EB" w:rsidRDefault="005E41EB" w:rsidP="005E41EB">
            <w:pPr>
              <w:overflowPunct/>
              <w:autoSpaceDE/>
              <w:autoSpaceDN/>
              <w:adjustRightInd/>
              <w:spacing w:before="60"/>
              <w:jc w:val="right"/>
              <w:textAlignment w:val="auto"/>
              <w:rPr>
                <w:color w:val="000000"/>
              </w:rPr>
            </w:pPr>
            <w:r w:rsidRPr="005E41EB">
              <w:rPr>
                <w:color w:val="000000"/>
              </w:rPr>
              <w:t>48%</w:t>
            </w:r>
          </w:p>
        </w:tc>
        <w:tc>
          <w:tcPr>
            <w:tcW w:w="0" w:type="auto"/>
            <w:tcBorders>
              <w:top w:val="nil"/>
              <w:left w:val="nil"/>
              <w:bottom w:val="nil"/>
              <w:right w:val="nil"/>
            </w:tcBorders>
            <w:shd w:val="clear" w:color="auto" w:fill="auto"/>
            <w:noWrap/>
            <w:vAlign w:val="bottom"/>
            <w:hideMark/>
          </w:tcPr>
          <w:p w:rsidR="005E41EB" w:rsidRPr="005E41EB" w:rsidRDefault="005E41EB" w:rsidP="005E41EB">
            <w:pPr>
              <w:overflowPunct/>
              <w:autoSpaceDE/>
              <w:autoSpaceDN/>
              <w:adjustRightInd/>
              <w:spacing w:before="60"/>
              <w:jc w:val="right"/>
              <w:textAlignment w:val="auto"/>
              <w:rPr>
                <w:color w:val="000000"/>
              </w:rPr>
            </w:pPr>
            <w:r w:rsidRPr="005E41EB">
              <w:rPr>
                <w:color w:val="000000"/>
              </w:rPr>
              <w:t>0%</w:t>
            </w:r>
          </w:p>
        </w:tc>
        <w:tc>
          <w:tcPr>
            <w:tcW w:w="0" w:type="auto"/>
            <w:tcBorders>
              <w:top w:val="nil"/>
              <w:left w:val="nil"/>
              <w:bottom w:val="nil"/>
              <w:right w:val="nil"/>
            </w:tcBorders>
            <w:shd w:val="clear" w:color="auto" w:fill="auto"/>
            <w:noWrap/>
            <w:vAlign w:val="bottom"/>
            <w:hideMark/>
          </w:tcPr>
          <w:p w:rsidR="005E41EB" w:rsidRPr="005E41EB" w:rsidRDefault="005E41EB" w:rsidP="005E41EB">
            <w:pPr>
              <w:overflowPunct/>
              <w:autoSpaceDE/>
              <w:autoSpaceDN/>
              <w:adjustRightInd/>
              <w:spacing w:before="60"/>
              <w:jc w:val="right"/>
              <w:textAlignment w:val="auto"/>
              <w:rPr>
                <w:color w:val="000000"/>
              </w:rPr>
            </w:pPr>
            <w:r w:rsidRPr="005E41EB">
              <w:rPr>
                <w:color w:val="000000"/>
              </w:rPr>
              <w:t>0%</w:t>
            </w:r>
          </w:p>
        </w:tc>
        <w:tc>
          <w:tcPr>
            <w:tcW w:w="0" w:type="auto"/>
            <w:tcBorders>
              <w:top w:val="nil"/>
              <w:left w:val="nil"/>
              <w:bottom w:val="nil"/>
              <w:right w:val="nil"/>
            </w:tcBorders>
            <w:shd w:val="clear" w:color="auto" w:fill="auto"/>
            <w:noWrap/>
            <w:vAlign w:val="bottom"/>
            <w:hideMark/>
          </w:tcPr>
          <w:p w:rsidR="005E41EB" w:rsidRPr="005E41EB" w:rsidRDefault="005E41EB" w:rsidP="005E41EB">
            <w:pPr>
              <w:overflowPunct/>
              <w:autoSpaceDE/>
              <w:autoSpaceDN/>
              <w:adjustRightInd/>
              <w:spacing w:before="60"/>
              <w:jc w:val="right"/>
              <w:textAlignment w:val="auto"/>
              <w:rPr>
                <w:color w:val="000000"/>
              </w:rPr>
            </w:pPr>
            <w:r w:rsidRPr="005E41EB">
              <w:rPr>
                <w:color w:val="000000"/>
              </w:rPr>
              <w:t>0%</w:t>
            </w:r>
          </w:p>
        </w:tc>
        <w:tc>
          <w:tcPr>
            <w:tcW w:w="0" w:type="auto"/>
            <w:tcBorders>
              <w:top w:val="nil"/>
              <w:left w:val="nil"/>
              <w:bottom w:val="nil"/>
              <w:right w:val="nil"/>
            </w:tcBorders>
            <w:shd w:val="clear" w:color="auto" w:fill="auto"/>
            <w:noWrap/>
            <w:vAlign w:val="bottom"/>
            <w:hideMark/>
          </w:tcPr>
          <w:p w:rsidR="005E41EB" w:rsidRPr="005E41EB" w:rsidRDefault="005E41EB" w:rsidP="005E41EB">
            <w:pPr>
              <w:overflowPunct/>
              <w:autoSpaceDE/>
              <w:autoSpaceDN/>
              <w:adjustRightInd/>
              <w:spacing w:before="60"/>
              <w:jc w:val="right"/>
              <w:textAlignment w:val="auto"/>
              <w:rPr>
                <w:color w:val="000000"/>
              </w:rPr>
            </w:pPr>
            <w:r w:rsidRPr="005E41EB">
              <w:rPr>
                <w:color w:val="000000"/>
              </w:rPr>
              <w:t>0%</w:t>
            </w:r>
          </w:p>
        </w:tc>
        <w:tc>
          <w:tcPr>
            <w:tcW w:w="0" w:type="auto"/>
            <w:tcBorders>
              <w:top w:val="nil"/>
              <w:left w:val="nil"/>
              <w:bottom w:val="nil"/>
              <w:right w:val="nil"/>
            </w:tcBorders>
            <w:shd w:val="clear" w:color="auto" w:fill="auto"/>
            <w:noWrap/>
            <w:vAlign w:val="bottom"/>
            <w:hideMark/>
          </w:tcPr>
          <w:p w:rsidR="005E41EB" w:rsidRPr="005E41EB" w:rsidRDefault="005E41EB" w:rsidP="005E41EB">
            <w:pPr>
              <w:overflowPunct/>
              <w:autoSpaceDE/>
              <w:autoSpaceDN/>
              <w:adjustRightInd/>
              <w:spacing w:before="60"/>
              <w:jc w:val="right"/>
              <w:textAlignment w:val="auto"/>
              <w:rPr>
                <w:color w:val="000000"/>
              </w:rPr>
            </w:pPr>
            <w:r w:rsidRPr="005E41EB">
              <w:rPr>
                <w:color w:val="000000"/>
              </w:rPr>
              <w:t>0%</w:t>
            </w:r>
          </w:p>
        </w:tc>
        <w:tc>
          <w:tcPr>
            <w:tcW w:w="0" w:type="auto"/>
            <w:tcBorders>
              <w:top w:val="nil"/>
              <w:left w:val="nil"/>
              <w:bottom w:val="nil"/>
              <w:right w:val="nil"/>
            </w:tcBorders>
            <w:shd w:val="clear" w:color="auto" w:fill="auto"/>
            <w:noWrap/>
            <w:vAlign w:val="bottom"/>
            <w:hideMark/>
          </w:tcPr>
          <w:p w:rsidR="005E41EB" w:rsidRPr="005E41EB" w:rsidRDefault="005E41EB" w:rsidP="005E41EB">
            <w:pPr>
              <w:overflowPunct/>
              <w:autoSpaceDE/>
              <w:autoSpaceDN/>
              <w:adjustRightInd/>
              <w:spacing w:before="60"/>
              <w:jc w:val="right"/>
              <w:textAlignment w:val="auto"/>
              <w:rPr>
                <w:color w:val="000000"/>
              </w:rPr>
            </w:pPr>
            <w:r w:rsidRPr="005E41EB">
              <w:rPr>
                <w:color w:val="000000"/>
              </w:rPr>
              <w:t>0%</w:t>
            </w:r>
          </w:p>
        </w:tc>
        <w:tc>
          <w:tcPr>
            <w:tcW w:w="0" w:type="auto"/>
            <w:tcBorders>
              <w:top w:val="nil"/>
              <w:left w:val="nil"/>
              <w:bottom w:val="nil"/>
              <w:right w:val="nil"/>
            </w:tcBorders>
            <w:shd w:val="clear" w:color="auto" w:fill="auto"/>
            <w:noWrap/>
            <w:vAlign w:val="bottom"/>
            <w:hideMark/>
          </w:tcPr>
          <w:p w:rsidR="005E41EB" w:rsidRPr="005E41EB" w:rsidRDefault="005E41EB" w:rsidP="005E41EB">
            <w:pPr>
              <w:overflowPunct/>
              <w:autoSpaceDE/>
              <w:autoSpaceDN/>
              <w:adjustRightInd/>
              <w:spacing w:before="60"/>
              <w:jc w:val="right"/>
              <w:textAlignment w:val="auto"/>
              <w:rPr>
                <w:color w:val="000000"/>
              </w:rPr>
            </w:pPr>
            <w:r w:rsidRPr="005E41EB">
              <w:rPr>
                <w:color w:val="000000"/>
              </w:rPr>
              <w:t>2%</w:t>
            </w:r>
          </w:p>
        </w:tc>
        <w:tc>
          <w:tcPr>
            <w:tcW w:w="0" w:type="auto"/>
            <w:tcBorders>
              <w:top w:val="nil"/>
              <w:left w:val="nil"/>
              <w:bottom w:val="nil"/>
              <w:right w:val="nil"/>
            </w:tcBorders>
            <w:shd w:val="clear" w:color="auto" w:fill="auto"/>
            <w:noWrap/>
            <w:vAlign w:val="bottom"/>
            <w:hideMark/>
          </w:tcPr>
          <w:p w:rsidR="005E41EB" w:rsidRPr="005E41EB" w:rsidRDefault="005E41EB" w:rsidP="005E41EB">
            <w:pPr>
              <w:overflowPunct/>
              <w:autoSpaceDE/>
              <w:autoSpaceDN/>
              <w:adjustRightInd/>
              <w:spacing w:before="60"/>
              <w:jc w:val="right"/>
              <w:textAlignment w:val="auto"/>
              <w:rPr>
                <w:color w:val="000000"/>
              </w:rPr>
            </w:pPr>
            <w:r w:rsidRPr="005E41EB">
              <w:rPr>
                <w:color w:val="000000"/>
              </w:rPr>
              <w:t>3%</w:t>
            </w:r>
          </w:p>
        </w:tc>
        <w:tc>
          <w:tcPr>
            <w:tcW w:w="0" w:type="auto"/>
            <w:tcBorders>
              <w:top w:val="nil"/>
              <w:left w:val="nil"/>
              <w:bottom w:val="nil"/>
              <w:right w:val="nil"/>
            </w:tcBorders>
            <w:shd w:val="clear" w:color="auto" w:fill="auto"/>
            <w:noWrap/>
            <w:vAlign w:val="bottom"/>
            <w:hideMark/>
          </w:tcPr>
          <w:p w:rsidR="005E41EB" w:rsidRPr="005E41EB" w:rsidRDefault="005E41EB" w:rsidP="005E41EB">
            <w:pPr>
              <w:overflowPunct/>
              <w:autoSpaceDE/>
              <w:autoSpaceDN/>
              <w:adjustRightInd/>
              <w:spacing w:before="60"/>
              <w:jc w:val="right"/>
              <w:textAlignment w:val="auto"/>
              <w:rPr>
                <w:color w:val="000000"/>
              </w:rPr>
            </w:pPr>
            <w:r w:rsidRPr="005E41EB">
              <w:rPr>
                <w:color w:val="000000"/>
              </w:rPr>
              <w:t>4%</w:t>
            </w:r>
          </w:p>
        </w:tc>
      </w:tr>
      <w:tr w:rsidR="005E41EB" w:rsidRPr="005E41EB" w:rsidTr="00F044F4">
        <w:trPr>
          <w:trHeight w:val="20"/>
        </w:trPr>
        <w:tc>
          <w:tcPr>
            <w:tcW w:w="1939" w:type="dxa"/>
            <w:tcBorders>
              <w:top w:val="nil"/>
              <w:left w:val="nil"/>
              <w:bottom w:val="nil"/>
              <w:right w:val="nil"/>
            </w:tcBorders>
            <w:shd w:val="clear" w:color="auto" w:fill="auto"/>
            <w:noWrap/>
            <w:vAlign w:val="bottom"/>
            <w:hideMark/>
          </w:tcPr>
          <w:p w:rsidR="005E41EB" w:rsidRPr="005E41EB" w:rsidRDefault="005E41EB" w:rsidP="005E41EB">
            <w:pPr>
              <w:overflowPunct/>
              <w:autoSpaceDE/>
              <w:autoSpaceDN/>
              <w:adjustRightInd/>
              <w:textAlignment w:val="auto"/>
              <w:rPr>
                <w:color w:val="000000"/>
              </w:rPr>
            </w:pPr>
            <w:r w:rsidRPr="005E41EB">
              <w:rPr>
                <w:color w:val="000000"/>
              </w:rPr>
              <w:t>Capital Gains</w:t>
            </w:r>
          </w:p>
        </w:tc>
        <w:tc>
          <w:tcPr>
            <w:tcW w:w="0" w:type="auto"/>
            <w:tcBorders>
              <w:top w:val="nil"/>
              <w:left w:val="nil"/>
              <w:bottom w:val="nil"/>
              <w:right w:val="nil"/>
            </w:tcBorders>
            <w:shd w:val="clear" w:color="auto" w:fill="auto"/>
            <w:noWrap/>
            <w:vAlign w:val="bottom"/>
            <w:hideMark/>
          </w:tcPr>
          <w:p w:rsidR="005E41EB" w:rsidRPr="005E41EB" w:rsidRDefault="005E41EB" w:rsidP="005E41EB">
            <w:pPr>
              <w:overflowPunct/>
              <w:autoSpaceDE/>
              <w:autoSpaceDN/>
              <w:adjustRightInd/>
              <w:jc w:val="right"/>
              <w:textAlignment w:val="auto"/>
              <w:rPr>
                <w:color w:val="000000"/>
              </w:rPr>
            </w:pPr>
            <w:r w:rsidRPr="005E41EB">
              <w:rPr>
                <w:color w:val="000000"/>
              </w:rPr>
              <w:t>20%</w:t>
            </w:r>
          </w:p>
        </w:tc>
        <w:tc>
          <w:tcPr>
            <w:tcW w:w="0" w:type="auto"/>
            <w:tcBorders>
              <w:top w:val="nil"/>
              <w:left w:val="nil"/>
              <w:bottom w:val="nil"/>
              <w:right w:val="nil"/>
            </w:tcBorders>
            <w:shd w:val="clear" w:color="auto" w:fill="auto"/>
            <w:noWrap/>
            <w:vAlign w:val="bottom"/>
            <w:hideMark/>
          </w:tcPr>
          <w:p w:rsidR="005E41EB" w:rsidRPr="005E41EB" w:rsidRDefault="005E41EB" w:rsidP="005E41EB">
            <w:pPr>
              <w:overflowPunct/>
              <w:autoSpaceDE/>
              <w:autoSpaceDN/>
              <w:adjustRightInd/>
              <w:jc w:val="right"/>
              <w:textAlignment w:val="auto"/>
              <w:rPr>
                <w:color w:val="000000"/>
              </w:rPr>
            </w:pPr>
            <w:r w:rsidRPr="005E41EB">
              <w:rPr>
                <w:color w:val="000000"/>
              </w:rPr>
              <w:t>31%</w:t>
            </w:r>
          </w:p>
        </w:tc>
        <w:tc>
          <w:tcPr>
            <w:tcW w:w="0" w:type="auto"/>
            <w:tcBorders>
              <w:top w:val="nil"/>
              <w:left w:val="nil"/>
              <w:bottom w:val="nil"/>
              <w:right w:val="nil"/>
            </w:tcBorders>
            <w:shd w:val="clear" w:color="auto" w:fill="auto"/>
            <w:noWrap/>
            <w:vAlign w:val="bottom"/>
            <w:hideMark/>
          </w:tcPr>
          <w:p w:rsidR="005E41EB" w:rsidRPr="005E41EB" w:rsidRDefault="005E41EB" w:rsidP="005E41EB">
            <w:pPr>
              <w:overflowPunct/>
              <w:autoSpaceDE/>
              <w:autoSpaceDN/>
              <w:adjustRightInd/>
              <w:jc w:val="right"/>
              <w:textAlignment w:val="auto"/>
              <w:rPr>
                <w:color w:val="000000"/>
              </w:rPr>
            </w:pPr>
            <w:r w:rsidRPr="005E41EB">
              <w:rPr>
                <w:color w:val="000000"/>
              </w:rPr>
              <w:t>28%</w:t>
            </w:r>
          </w:p>
        </w:tc>
        <w:tc>
          <w:tcPr>
            <w:tcW w:w="0" w:type="auto"/>
            <w:tcBorders>
              <w:top w:val="nil"/>
              <w:left w:val="nil"/>
              <w:bottom w:val="nil"/>
              <w:right w:val="nil"/>
            </w:tcBorders>
            <w:shd w:val="clear" w:color="auto" w:fill="auto"/>
            <w:noWrap/>
            <w:vAlign w:val="bottom"/>
            <w:hideMark/>
          </w:tcPr>
          <w:p w:rsidR="005E41EB" w:rsidRPr="005E41EB" w:rsidRDefault="005E41EB" w:rsidP="005E41EB">
            <w:pPr>
              <w:overflowPunct/>
              <w:autoSpaceDE/>
              <w:autoSpaceDN/>
              <w:adjustRightInd/>
              <w:jc w:val="right"/>
              <w:textAlignment w:val="auto"/>
              <w:rPr>
                <w:color w:val="000000"/>
              </w:rPr>
            </w:pPr>
            <w:r w:rsidRPr="005E41EB">
              <w:rPr>
                <w:color w:val="000000"/>
              </w:rPr>
              <w:t>8%</w:t>
            </w:r>
          </w:p>
        </w:tc>
        <w:tc>
          <w:tcPr>
            <w:tcW w:w="0" w:type="auto"/>
            <w:tcBorders>
              <w:top w:val="nil"/>
              <w:left w:val="nil"/>
              <w:bottom w:val="nil"/>
              <w:right w:val="nil"/>
            </w:tcBorders>
            <w:shd w:val="clear" w:color="auto" w:fill="auto"/>
            <w:noWrap/>
            <w:vAlign w:val="bottom"/>
            <w:hideMark/>
          </w:tcPr>
          <w:p w:rsidR="005E41EB" w:rsidRPr="005E41EB" w:rsidRDefault="005E41EB" w:rsidP="005E41EB">
            <w:pPr>
              <w:overflowPunct/>
              <w:autoSpaceDE/>
              <w:autoSpaceDN/>
              <w:adjustRightInd/>
              <w:jc w:val="right"/>
              <w:textAlignment w:val="auto"/>
              <w:rPr>
                <w:color w:val="000000"/>
              </w:rPr>
            </w:pPr>
            <w:r w:rsidRPr="005E41EB">
              <w:rPr>
                <w:color w:val="000000"/>
              </w:rPr>
              <w:t>15%</w:t>
            </w:r>
          </w:p>
        </w:tc>
        <w:tc>
          <w:tcPr>
            <w:tcW w:w="0" w:type="auto"/>
            <w:tcBorders>
              <w:top w:val="nil"/>
              <w:left w:val="nil"/>
              <w:bottom w:val="nil"/>
              <w:right w:val="nil"/>
            </w:tcBorders>
            <w:shd w:val="clear" w:color="auto" w:fill="auto"/>
            <w:noWrap/>
            <w:vAlign w:val="bottom"/>
            <w:hideMark/>
          </w:tcPr>
          <w:p w:rsidR="005E41EB" w:rsidRPr="005E41EB" w:rsidRDefault="005E41EB" w:rsidP="005E41EB">
            <w:pPr>
              <w:overflowPunct/>
              <w:autoSpaceDE/>
              <w:autoSpaceDN/>
              <w:adjustRightInd/>
              <w:jc w:val="right"/>
              <w:textAlignment w:val="auto"/>
              <w:rPr>
                <w:color w:val="000000"/>
              </w:rPr>
            </w:pPr>
            <w:r w:rsidRPr="005E41EB">
              <w:rPr>
                <w:color w:val="000000"/>
              </w:rPr>
              <w:t>17%</w:t>
            </w:r>
          </w:p>
        </w:tc>
        <w:tc>
          <w:tcPr>
            <w:tcW w:w="0" w:type="auto"/>
            <w:tcBorders>
              <w:top w:val="nil"/>
              <w:left w:val="nil"/>
              <w:bottom w:val="nil"/>
              <w:right w:val="nil"/>
            </w:tcBorders>
            <w:shd w:val="clear" w:color="auto" w:fill="auto"/>
            <w:noWrap/>
            <w:vAlign w:val="bottom"/>
            <w:hideMark/>
          </w:tcPr>
          <w:p w:rsidR="005E41EB" w:rsidRPr="005E41EB" w:rsidRDefault="005E41EB" w:rsidP="005E41EB">
            <w:pPr>
              <w:overflowPunct/>
              <w:autoSpaceDE/>
              <w:autoSpaceDN/>
              <w:adjustRightInd/>
              <w:jc w:val="right"/>
              <w:textAlignment w:val="auto"/>
              <w:rPr>
                <w:color w:val="000000"/>
              </w:rPr>
            </w:pPr>
            <w:r w:rsidRPr="005E41EB">
              <w:rPr>
                <w:color w:val="000000"/>
              </w:rPr>
              <w:t>76%</w:t>
            </w:r>
          </w:p>
        </w:tc>
        <w:tc>
          <w:tcPr>
            <w:tcW w:w="0" w:type="auto"/>
            <w:tcBorders>
              <w:top w:val="nil"/>
              <w:left w:val="nil"/>
              <w:bottom w:val="nil"/>
              <w:right w:val="nil"/>
            </w:tcBorders>
            <w:shd w:val="clear" w:color="auto" w:fill="auto"/>
            <w:noWrap/>
            <w:vAlign w:val="bottom"/>
            <w:hideMark/>
          </w:tcPr>
          <w:p w:rsidR="005E41EB" w:rsidRPr="005E41EB" w:rsidRDefault="005E41EB" w:rsidP="005E41EB">
            <w:pPr>
              <w:overflowPunct/>
              <w:autoSpaceDE/>
              <w:autoSpaceDN/>
              <w:adjustRightInd/>
              <w:jc w:val="right"/>
              <w:textAlignment w:val="auto"/>
              <w:rPr>
                <w:color w:val="000000"/>
              </w:rPr>
            </w:pPr>
            <w:r w:rsidRPr="005E41EB">
              <w:rPr>
                <w:color w:val="000000"/>
              </w:rPr>
              <w:t>60%</w:t>
            </w:r>
          </w:p>
        </w:tc>
        <w:tc>
          <w:tcPr>
            <w:tcW w:w="0" w:type="auto"/>
            <w:tcBorders>
              <w:top w:val="nil"/>
              <w:left w:val="nil"/>
              <w:bottom w:val="nil"/>
              <w:right w:val="nil"/>
            </w:tcBorders>
            <w:shd w:val="clear" w:color="auto" w:fill="auto"/>
            <w:noWrap/>
            <w:vAlign w:val="bottom"/>
            <w:hideMark/>
          </w:tcPr>
          <w:p w:rsidR="005E41EB" w:rsidRPr="005E41EB" w:rsidRDefault="005E41EB" w:rsidP="005E41EB">
            <w:pPr>
              <w:overflowPunct/>
              <w:autoSpaceDE/>
              <w:autoSpaceDN/>
              <w:adjustRightInd/>
              <w:jc w:val="right"/>
              <w:textAlignment w:val="auto"/>
              <w:rPr>
                <w:color w:val="000000"/>
              </w:rPr>
            </w:pPr>
            <w:r w:rsidRPr="005E41EB">
              <w:rPr>
                <w:color w:val="000000"/>
              </w:rPr>
              <w:t>56%</w:t>
            </w:r>
          </w:p>
        </w:tc>
        <w:tc>
          <w:tcPr>
            <w:tcW w:w="0" w:type="auto"/>
            <w:tcBorders>
              <w:top w:val="nil"/>
              <w:left w:val="nil"/>
              <w:bottom w:val="nil"/>
              <w:right w:val="nil"/>
            </w:tcBorders>
            <w:shd w:val="clear" w:color="auto" w:fill="auto"/>
            <w:noWrap/>
            <w:vAlign w:val="bottom"/>
            <w:hideMark/>
          </w:tcPr>
          <w:p w:rsidR="005E41EB" w:rsidRPr="005E41EB" w:rsidRDefault="005E41EB" w:rsidP="005E41EB">
            <w:pPr>
              <w:overflowPunct/>
              <w:autoSpaceDE/>
              <w:autoSpaceDN/>
              <w:adjustRightInd/>
              <w:jc w:val="right"/>
              <w:textAlignment w:val="auto"/>
              <w:rPr>
                <w:color w:val="000000"/>
              </w:rPr>
            </w:pPr>
            <w:r w:rsidRPr="005E41EB">
              <w:rPr>
                <w:color w:val="000000"/>
              </w:rPr>
              <w:t>4%</w:t>
            </w:r>
          </w:p>
        </w:tc>
        <w:tc>
          <w:tcPr>
            <w:tcW w:w="0" w:type="auto"/>
            <w:tcBorders>
              <w:top w:val="nil"/>
              <w:left w:val="nil"/>
              <w:bottom w:val="nil"/>
              <w:right w:val="nil"/>
            </w:tcBorders>
            <w:shd w:val="clear" w:color="auto" w:fill="auto"/>
            <w:noWrap/>
            <w:vAlign w:val="bottom"/>
            <w:hideMark/>
          </w:tcPr>
          <w:p w:rsidR="005E41EB" w:rsidRPr="005E41EB" w:rsidRDefault="005E41EB" w:rsidP="005E41EB">
            <w:pPr>
              <w:overflowPunct/>
              <w:autoSpaceDE/>
              <w:autoSpaceDN/>
              <w:adjustRightInd/>
              <w:jc w:val="right"/>
              <w:textAlignment w:val="auto"/>
              <w:rPr>
                <w:color w:val="000000"/>
              </w:rPr>
            </w:pPr>
            <w:r w:rsidRPr="005E41EB">
              <w:rPr>
                <w:color w:val="000000"/>
              </w:rPr>
              <w:t>5%</w:t>
            </w:r>
          </w:p>
        </w:tc>
        <w:tc>
          <w:tcPr>
            <w:tcW w:w="0" w:type="auto"/>
            <w:tcBorders>
              <w:top w:val="nil"/>
              <w:left w:val="nil"/>
              <w:bottom w:val="nil"/>
              <w:right w:val="nil"/>
            </w:tcBorders>
            <w:shd w:val="clear" w:color="auto" w:fill="auto"/>
            <w:noWrap/>
            <w:vAlign w:val="bottom"/>
            <w:hideMark/>
          </w:tcPr>
          <w:p w:rsidR="005E41EB" w:rsidRPr="005E41EB" w:rsidRDefault="005E41EB" w:rsidP="005E41EB">
            <w:pPr>
              <w:overflowPunct/>
              <w:autoSpaceDE/>
              <w:autoSpaceDN/>
              <w:adjustRightInd/>
              <w:jc w:val="right"/>
              <w:textAlignment w:val="auto"/>
              <w:rPr>
                <w:color w:val="000000"/>
              </w:rPr>
            </w:pPr>
            <w:r w:rsidRPr="005E41EB">
              <w:rPr>
                <w:color w:val="000000"/>
              </w:rPr>
              <w:t>7%</w:t>
            </w:r>
          </w:p>
        </w:tc>
      </w:tr>
      <w:tr w:rsidR="005E41EB" w:rsidRPr="005E41EB" w:rsidTr="00F044F4">
        <w:trPr>
          <w:trHeight w:val="20"/>
        </w:trPr>
        <w:tc>
          <w:tcPr>
            <w:tcW w:w="1939" w:type="dxa"/>
            <w:tcBorders>
              <w:top w:val="nil"/>
              <w:left w:val="nil"/>
              <w:bottom w:val="nil"/>
              <w:right w:val="nil"/>
            </w:tcBorders>
            <w:shd w:val="clear" w:color="auto" w:fill="auto"/>
            <w:noWrap/>
            <w:vAlign w:val="bottom"/>
            <w:hideMark/>
          </w:tcPr>
          <w:p w:rsidR="005E41EB" w:rsidRPr="005E41EB" w:rsidRDefault="005E41EB" w:rsidP="005E41EB">
            <w:pPr>
              <w:overflowPunct/>
              <w:autoSpaceDE/>
              <w:autoSpaceDN/>
              <w:adjustRightInd/>
              <w:textAlignment w:val="auto"/>
              <w:rPr>
                <w:color w:val="000000"/>
              </w:rPr>
            </w:pPr>
            <w:r w:rsidRPr="005E41EB">
              <w:rPr>
                <w:color w:val="000000"/>
              </w:rPr>
              <w:t>Volume</w:t>
            </w:r>
          </w:p>
        </w:tc>
        <w:tc>
          <w:tcPr>
            <w:tcW w:w="0" w:type="auto"/>
            <w:tcBorders>
              <w:top w:val="nil"/>
              <w:left w:val="nil"/>
              <w:bottom w:val="nil"/>
              <w:right w:val="nil"/>
            </w:tcBorders>
            <w:shd w:val="clear" w:color="auto" w:fill="auto"/>
            <w:noWrap/>
            <w:vAlign w:val="bottom"/>
            <w:hideMark/>
          </w:tcPr>
          <w:p w:rsidR="005E41EB" w:rsidRPr="005E41EB" w:rsidRDefault="005E41EB" w:rsidP="005E41EB">
            <w:pPr>
              <w:overflowPunct/>
              <w:autoSpaceDE/>
              <w:autoSpaceDN/>
              <w:adjustRightInd/>
              <w:jc w:val="right"/>
              <w:textAlignment w:val="auto"/>
              <w:rPr>
                <w:color w:val="000000"/>
              </w:rPr>
            </w:pPr>
            <w:r w:rsidRPr="005E41EB">
              <w:rPr>
                <w:color w:val="000000"/>
              </w:rPr>
              <w:t>5%</w:t>
            </w:r>
          </w:p>
        </w:tc>
        <w:tc>
          <w:tcPr>
            <w:tcW w:w="0" w:type="auto"/>
            <w:tcBorders>
              <w:top w:val="nil"/>
              <w:left w:val="nil"/>
              <w:bottom w:val="nil"/>
              <w:right w:val="nil"/>
            </w:tcBorders>
            <w:shd w:val="clear" w:color="auto" w:fill="auto"/>
            <w:noWrap/>
            <w:vAlign w:val="bottom"/>
            <w:hideMark/>
          </w:tcPr>
          <w:p w:rsidR="005E41EB" w:rsidRPr="005E41EB" w:rsidRDefault="005E41EB" w:rsidP="005E41EB">
            <w:pPr>
              <w:overflowPunct/>
              <w:autoSpaceDE/>
              <w:autoSpaceDN/>
              <w:adjustRightInd/>
              <w:jc w:val="right"/>
              <w:textAlignment w:val="auto"/>
              <w:rPr>
                <w:color w:val="000000"/>
              </w:rPr>
            </w:pPr>
            <w:r w:rsidRPr="005E41EB">
              <w:rPr>
                <w:color w:val="000000"/>
              </w:rPr>
              <w:t>9%</w:t>
            </w:r>
          </w:p>
        </w:tc>
        <w:tc>
          <w:tcPr>
            <w:tcW w:w="0" w:type="auto"/>
            <w:tcBorders>
              <w:top w:val="nil"/>
              <w:left w:val="nil"/>
              <w:bottom w:val="nil"/>
              <w:right w:val="nil"/>
            </w:tcBorders>
            <w:shd w:val="clear" w:color="auto" w:fill="auto"/>
            <w:noWrap/>
            <w:vAlign w:val="bottom"/>
            <w:hideMark/>
          </w:tcPr>
          <w:p w:rsidR="005E41EB" w:rsidRPr="005E41EB" w:rsidRDefault="005E41EB" w:rsidP="005E41EB">
            <w:pPr>
              <w:overflowPunct/>
              <w:autoSpaceDE/>
              <w:autoSpaceDN/>
              <w:adjustRightInd/>
              <w:jc w:val="right"/>
              <w:textAlignment w:val="auto"/>
              <w:rPr>
                <w:color w:val="000000"/>
              </w:rPr>
            </w:pPr>
            <w:r w:rsidRPr="005E41EB">
              <w:rPr>
                <w:color w:val="000000"/>
              </w:rPr>
              <w:t>10%</w:t>
            </w:r>
          </w:p>
        </w:tc>
        <w:tc>
          <w:tcPr>
            <w:tcW w:w="0" w:type="auto"/>
            <w:tcBorders>
              <w:top w:val="nil"/>
              <w:left w:val="nil"/>
              <w:bottom w:val="nil"/>
              <w:right w:val="nil"/>
            </w:tcBorders>
            <w:shd w:val="clear" w:color="auto" w:fill="auto"/>
            <w:noWrap/>
            <w:vAlign w:val="bottom"/>
            <w:hideMark/>
          </w:tcPr>
          <w:p w:rsidR="005E41EB" w:rsidRPr="005E41EB" w:rsidRDefault="005E41EB" w:rsidP="005E41EB">
            <w:pPr>
              <w:overflowPunct/>
              <w:autoSpaceDE/>
              <w:autoSpaceDN/>
              <w:adjustRightInd/>
              <w:jc w:val="right"/>
              <w:textAlignment w:val="auto"/>
              <w:rPr>
                <w:color w:val="000000"/>
              </w:rPr>
            </w:pPr>
            <w:r w:rsidRPr="005E41EB">
              <w:rPr>
                <w:color w:val="000000"/>
              </w:rPr>
              <w:t>0%</w:t>
            </w:r>
          </w:p>
        </w:tc>
        <w:tc>
          <w:tcPr>
            <w:tcW w:w="0" w:type="auto"/>
            <w:tcBorders>
              <w:top w:val="nil"/>
              <w:left w:val="nil"/>
              <w:bottom w:val="nil"/>
              <w:right w:val="nil"/>
            </w:tcBorders>
            <w:shd w:val="clear" w:color="auto" w:fill="auto"/>
            <w:noWrap/>
            <w:vAlign w:val="bottom"/>
            <w:hideMark/>
          </w:tcPr>
          <w:p w:rsidR="005E41EB" w:rsidRPr="005E41EB" w:rsidRDefault="005E41EB" w:rsidP="005E41EB">
            <w:pPr>
              <w:overflowPunct/>
              <w:autoSpaceDE/>
              <w:autoSpaceDN/>
              <w:adjustRightInd/>
              <w:jc w:val="right"/>
              <w:textAlignment w:val="auto"/>
              <w:rPr>
                <w:color w:val="000000"/>
              </w:rPr>
            </w:pPr>
            <w:r w:rsidRPr="005E41EB">
              <w:rPr>
                <w:color w:val="000000"/>
              </w:rPr>
              <w:t>0%</w:t>
            </w:r>
          </w:p>
        </w:tc>
        <w:tc>
          <w:tcPr>
            <w:tcW w:w="0" w:type="auto"/>
            <w:tcBorders>
              <w:top w:val="nil"/>
              <w:left w:val="nil"/>
              <w:bottom w:val="nil"/>
              <w:right w:val="nil"/>
            </w:tcBorders>
            <w:shd w:val="clear" w:color="auto" w:fill="auto"/>
            <w:noWrap/>
            <w:vAlign w:val="bottom"/>
            <w:hideMark/>
          </w:tcPr>
          <w:p w:rsidR="005E41EB" w:rsidRPr="005E41EB" w:rsidRDefault="005E41EB" w:rsidP="005E41EB">
            <w:pPr>
              <w:overflowPunct/>
              <w:autoSpaceDE/>
              <w:autoSpaceDN/>
              <w:adjustRightInd/>
              <w:jc w:val="right"/>
              <w:textAlignment w:val="auto"/>
              <w:rPr>
                <w:color w:val="000000"/>
              </w:rPr>
            </w:pPr>
            <w:r w:rsidRPr="005E41EB">
              <w:rPr>
                <w:color w:val="000000"/>
              </w:rPr>
              <w:t>0%</w:t>
            </w:r>
          </w:p>
        </w:tc>
        <w:tc>
          <w:tcPr>
            <w:tcW w:w="0" w:type="auto"/>
            <w:tcBorders>
              <w:top w:val="nil"/>
              <w:left w:val="nil"/>
              <w:bottom w:val="nil"/>
              <w:right w:val="nil"/>
            </w:tcBorders>
            <w:shd w:val="clear" w:color="auto" w:fill="auto"/>
            <w:noWrap/>
            <w:vAlign w:val="bottom"/>
            <w:hideMark/>
          </w:tcPr>
          <w:p w:rsidR="005E41EB" w:rsidRPr="005E41EB" w:rsidRDefault="005E41EB" w:rsidP="005E41EB">
            <w:pPr>
              <w:overflowPunct/>
              <w:autoSpaceDE/>
              <w:autoSpaceDN/>
              <w:adjustRightInd/>
              <w:jc w:val="right"/>
              <w:textAlignment w:val="auto"/>
              <w:rPr>
                <w:color w:val="000000"/>
              </w:rPr>
            </w:pPr>
            <w:r w:rsidRPr="005E41EB">
              <w:rPr>
                <w:color w:val="000000"/>
              </w:rPr>
              <w:t>9%</w:t>
            </w:r>
          </w:p>
        </w:tc>
        <w:tc>
          <w:tcPr>
            <w:tcW w:w="0" w:type="auto"/>
            <w:tcBorders>
              <w:top w:val="nil"/>
              <w:left w:val="nil"/>
              <w:bottom w:val="nil"/>
              <w:right w:val="nil"/>
            </w:tcBorders>
            <w:shd w:val="clear" w:color="auto" w:fill="auto"/>
            <w:noWrap/>
            <w:vAlign w:val="bottom"/>
            <w:hideMark/>
          </w:tcPr>
          <w:p w:rsidR="005E41EB" w:rsidRPr="005E41EB" w:rsidRDefault="005E41EB" w:rsidP="005E41EB">
            <w:pPr>
              <w:overflowPunct/>
              <w:autoSpaceDE/>
              <w:autoSpaceDN/>
              <w:adjustRightInd/>
              <w:jc w:val="right"/>
              <w:textAlignment w:val="auto"/>
              <w:rPr>
                <w:color w:val="000000"/>
              </w:rPr>
            </w:pPr>
            <w:r w:rsidRPr="005E41EB">
              <w:rPr>
                <w:color w:val="000000"/>
              </w:rPr>
              <w:t>8%</w:t>
            </w:r>
          </w:p>
        </w:tc>
        <w:tc>
          <w:tcPr>
            <w:tcW w:w="0" w:type="auto"/>
            <w:tcBorders>
              <w:top w:val="nil"/>
              <w:left w:val="nil"/>
              <w:bottom w:val="nil"/>
              <w:right w:val="nil"/>
            </w:tcBorders>
            <w:shd w:val="clear" w:color="auto" w:fill="auto"/>
            <w:noWrap/>
            <w:vAlign w:val="bottom"/>
            <w:hideMark/>
          </w:tcPr>
          <w:p w:rsidR="005E41EB" w:rsidRPr="005E41EB" w:rsidRDefault="005E41EB" w:rsidP="005E41EB">
            <w:pPr>
              <w:overflowPunct/>
              <w:autoSpaceDE/>
              <w:autoSpaceDN/>
              <w:adjustRightInd/>
              <w:jc w:val="right"/>
              <w:textAlignment w:val="auto"/>
              <w:rPr>
                <w:color w:val="000000"/>
              </w:rPr>
            </w:pPr>
            <w:r w:rsidRPr="005E41EB">
              <w:rPr>
                <w:color w:val="000000"/>
              </w:rPr>
              <w:t>7%</w:t>
            </w:r>
          </w:p>
        </w:tc>
        <w:tc>
          <w:tcPr>
            <w:tcW w:w="0" w:type="auto"/>
            <w:tcBorders>
              <w:top w:val="nil"/>
              <w:left w:val="nil"/>
              <w:bottom w:val="nil"/>
              <w:right w:val="nil"/>
            </w:tcBorders>
            <w:shd w:val="clear" w:color="auto" w:fill="auto"/>
            <w:noWrap/>
            <w:vAlign w:val="bottom"/>
            <w:hideMark/>
          </w:tcPr>
          <w:p w:rsidR="005E41EB" w:rsidRPr="005E41EB" w:rsidRDefault="005E41EB" w:rsidP="005E41EB">
            <w:pPr>
              <w:overflowPunct/>
              <w:autoSpaceDE/>
              <w:autoSpaceDN/>
              <w:adjustRightInd/>
              <w:jc w:val="right"/>
              <w:textAlignment w:val="auto"/>
              <w:rPr>
                <w:color w:val="000000"/>
              </w:rPr>
            </w:pPr>
            <w:r w:rsidRPr="005E41EB">
              <w:rPr>
                <w:color w:val="000000"/>
              </w:rPr>
              <w:t>90%</w:t>
            </w:r>
          </w:p>
        </w:tc>
        <w:tc>
          <w:tcPr>
            <w:tcW w:w="0" w:type="auto"/>
            <w:tcBorders>
              <w:top w:val="nil"/>
              <w:left w:val="nil"/>
              <w:bottom w:val="nil"/>
              <w:right w:val="nil"/>
            </w:tcBorders>
            <w:shd w:val="clear" w:color="auto" w:fill="auto"/>
            <w:noWrap/>
            <w:vAlign w:val="bottom"/>
            <w:hideMark/>
          </w:tcPr>
          <w:p w:rsidR="005E41EB" w:rsidRPr="005E41EB" w:rsidRDefault="005E41EB" w:rsidP="005E41EB">
            <w:pPr>
              <w:overflowPunct/>
              <w:autoSpaceDE/>
              <w:autoSpaceDN/>
              <w:adjustRightInd/>
              <w:jc w:val="right"/>
              <w:textAlignment w:val="auto"/>
              <w:rPr>
                <w:color w:val="000000"/>
              </w:rPr>
            </w:pPr>
            <w:r w:rsidRPr="005E41EB">
              <w:rPr>
                <w:color w:val="000000"/>
              </w:rPr>
              <w:t>82%</w:t>
            </w:r>
          </w:p>
        </w:tc>
        <w:tc>
          <w:tcPr>
            <w:tcW w:w="0" w:type="auto"/>
            <w:tcBorders>
              <w:top w:val="nil"/>
              <w:left w:val="nil"/>
              <w:bottom w:val="nil"/>
              <w:right w:val="nil"/>
            </w:tcBorders>
            <w:shd w:val="clear" w:color="auto" w:fill="auto"/>
            <w:noWrap/>
            <w:vAlign w:val="bottom"/>
            <w:hideMark/>
          </w:tcPr>
          <w:p w:rsidR="005E41EB" w:rsidRPr="005E41EB" w:rsidRDefault="005E41EB" w:rsidP="005E41EB">
            <w:pPr>
              <w:overflowPunct/>
              <w:autoSpaceDE/>
              <w:autoSpaceDN/>
              <w:adjustRightInd/>
              <w:jc w:val="right"/>
              <w:textAlignment w:val="auto"/>
              <w:rPr>
                <w:color w:val="000000"/>
              </w:rPr>
            </w:pPr>
            <w:r w:rsidRPr="005E41EB">
              <w:rPr>
                <w:color w:val="000000"/>
              </w:rPr>
              <w:t>78%</w:t>
            </w:r>
          </w:p>
        </w:tc>
      </w:tr>
      <w:tr w:rsidR="005E41EB" w:rsidRPr="005E41EB" w:rsidTr="00F044F4">
        <w:trPr>
          <w:trHeight w:val="20"/>
        </w:trPr>
        <w:tc>
          <w:tcPr>
            <w:tcW w:w="1939" w:type="dxa"/>
            <w:tcBorders>
              <w:top w:val="nil"/>
              <w:left w:val="nil"/>
              <w:bottom w:val="single" w:sz="12" w:space="0" w:color="auto"/>
              <w:right w:val="nil"/>
            </w:tcBorders>
            <w:shd w:val="clear" w:color="auto" w:fill="auto"/>
            <w:noWrap/>
            <w:vAlign w:val="bottom"/>
            <w:hideMark/>
          </w:tcPr>
          <w:p w:rsidR="005E41EB" w:rsidRPr="005E41EB" w:rsidRDefault="005E41EB" w:rsidP="005E41EB">
            <w:pPr>
              <w:overflowPunct/>
              <w:autoSpaceDE/>
              <w:autoSpaceDN/>
              <w:adjustRightInd/>
              <w:spacing w:after="60"/>
              <w:textAlignment w:val="auto"/>
              <w:rPr>
                <w:color w:val="000000"/>
              </w:rPr>
            </w:pPr>
            <w:r w:rsidRPr="005E41EB">
              <w:rPr>
                <w:color w:val="000000"/>
              </w:rPr>
              <w:t>CRE Tightening</w:t>
            </w:r>
          </w:p>
        </w:tc>
        <w:tc>
          <w:tcPr>
            <w:tcW w:w="0" w:type="auto"/>
            <w:tcBorders>
              <w:top w:val="nil"/>
              <w:left w:val="nil"/>
              <w:bottom w:val="single" w:sz="12" w:space="0" w:color="auto"/>
              <w:right w:val="nil"/>
            </w:tcBorders>
            <w:shd w:val="clear" w:color="auto" w:fill="auto"/>
            <w:noWrap/>
            <w:vAlign w:val="bottom"/>
            <w:hideMark/>
          </w:tcPr>
          <w:p w:rsidR="005E41EB" w:rsidRPr="005E41EB" w:rsidRDefault="005E41EB" w:rsidP="005E41EB">
            <w:pPr>
              <w:overflowPunct/>
              <w:autoSpaceDE/>
              <w:autoSpaceDN/>
              <w:adjustRightInd/>
              <w:spacing w:after="60"/>
              <w:jc w:val="right"/>
              <w:textAlignment w:val="auto"/>
              <w:rPr>
                <w:color w:val="000000"/>
              </w:rPr>
            </w:pPr>
            <w:r w:rsidRPr="005E41EB">
              <w:rPr>
                <w:color w:val="000000"/>
              </w:rPr>
              <w:t>0%</w:t>
            </w:r>
          </w:p>
        </w:tc>
        <w:tc>
          <w:tcPr>
            <w:tcW w:w="0" w:type="auto"/>
            <w:tcBorders>
              <w:top w:val="nil"/>
              <w:left w:val="nil"/>
              <w:bottom w:val="single" w:sz="12" w:space="0" w:color="auto"/>
              <w:right w:val="nil"/>
            </w:tcBorders>
            <w:shd w:val="clear" w:color="auto" w:fill="auto"/>
            <w:noWrap/>
            <w:vAlign w:val="bottom"/>
            <w:hideMark/>
          </w:tcPr>
          <w:p w:rsidR="005E41EB" w:rsidRPr="005E41EB" w:rsidRDefault="005E41EB" w:rsidP="005E41EB">
            <w:pPr>
              <w:overflowPunct/>
              <w:autoSpaceDE/>
              <w:autoSpaceDN/>
              <w:adjustRightInd/>
              <w:spacing w:after="60"/>
              <w:jc w:val="right"/>
              <w:textAlignment w:val="auto"/>
              <w:rPr>
                <w:color w:val="000000"/>
              </w:rPr>
            </w:pPr>
            <w:r w:rsidRPr="005E41EB">
              <w:rPr>
                <w:color w:val="000000"/>
              </w:rPr>
              <w:t>4%</w:t>
            </w:r>
          </w:p>
        </w:tc>
        <w:tc>
          <w:tcPr>
            <w:tcW w:w="0" w:type="auto"/>
            <w:tcBorders>
              <w:top w:val="nil"/>
              <w:left w:val="nil"/>
              <w:bottom w:val="single" w:sz="12" w:space="0" w:color="auto"/>
              <w:right w:val="nil"/>
            </w:tcBorders>
            <w:shd w:val="clear" w:color="auto" w:fill="auto"/>
            <w:noWrap/>
            <w:vAlign w:val="bottom"/>
            <w:hideMark/>
          </w:tcPr>
          <w:p w:rsidR="005E41EB" w:rsidRPr="005E41EB" w:rsidRDefault="005E41EB" w:rsidP="005E41EB">
            <w:pPr>
              <w:overflowPunct/>
              <w:autoSpaceDE/>
              <w:autoSpaceDN/>
              <w:adjustRightInd/>
              <w:spacing w:after="60"/>
              <w:jc w:val="right"/>
              <w:textAlignment w:val="auto"/>
              <w:rPr>
                <w:color w:val="000000"/>
              </w:rPr>
            </w:pPr>
            <w:r w:rsidRPr="005E41EB">
              <w:rPr>
                <w:color w:val="000000"/>
              </w:rPr>
              <w:t>14%</w:t>
            </w:r>
          </w:p>
        </w:tc>
        <w:tc>
          <w:tcPr>
            <w:tcW w:w="0" w:type="auto"/>
            <w:tcBorders>
              <w:top w:val="nil"/>
              <w:left w:val="nil"/>
              <w:bottom w:val="single" w:sz="12" w:space="0" w:color="auto"/>
              <w:right w:val="nil"/>
            </w:tcBorders>
            <w:shd w:val="clear" w:color="auto" w:fill="auto"/>
            <w:noWrap/>
            <w:vAlign w:val="bottom"/>
            <w:hideMark/>
          </w:tcPr>
          <w:p w:rsidR="005E41EB" w:rsidRPr="005E41EB" w:rsidRDefault="005E41EB" w:rsidP="005E41EB">
            <w:pPr>
              <w:overflowPunct/>
              <w:autoSpaceDE/>
              <w:autoSpaceDN/>
              <w:adjustRightInd/>
              <w:spacing w:after="60"/>
              <w:jc w:val="right"/>
              <w:textAlignment w:val="auto"/>
              <w:rPr>
                <w:color w:val="000000"/>
              </w:rPr>
            </w:pPr>
            <w:r w:rsidRPr="005E41EB">
              <w:rPr>
                <w:color w:val="000000"/>
              </w:rPr>
              <w:t>92%</w:t>
            </w:r>
          </w:p>
        </w:tc>
        <w:tc>
          <w:tcPr>
            <w:tcW w:w="0" w:type="auto"/>
            <w:tcBorders>
              <w:top w:val="nil"/>
              <w:left w:val="nil"/>
              <w:bottom w:val="single" w:sz="12" w:space="0" w:color="auto"/>
              <w:right w:val="nil"/>
            </w:tcBorders>
            <w:shd w:val="clear" w:color="auto" w:fill="auto"/>
            <w:noWrap/>
            <w:vAlign w:val="bottom"/>
            <w:hideMark/>
          </w:tcPr>
          <w:p w:rsidR="005E41EB" w:rsidRPr="005E41EB" w:rsidRDefault="005E41EB" w:rsidP="005E41EB">
            <w:pPr>
              <w:overflowPunct/>
              <w:autoSpaceDE/>
              <w:autoSpaceDN/>
              <w:adjustRightInd/>
              <w:spacing w:after="60"/>
              <w:jc w:val="right"/>
              <w:textAlignment w:val="auto"/>
              <w:rPr>
                <w:color w:val="000000"/>
              </w:rPr>
            </w:pPr>
            <w:r w:rsidRPr="005E41EB">
              <w:rPr>
                <w:color w:val="000000"/>
              </w:rPr>
              <w:t>85%</w:t>
            </w:r>
          </w:p>
        </w:tc>
        <w:tc>
          <w:tcPr>
            <w:tcW w:w="0" w:type="auto"/>
            <w:tcBorders>
              <w:top w:val="nil"/>
              <w:left w:val="nil"/>
              <w:bottom w:val="single" w:sz="12" w:space="0" w:color="auto"/>
              <w:right w:val="nil"/>
            </w:tcBorders>
            <w:shd w:val="clear" w:color="auto" w:fill="auto"/>
            <w:noWrap/>
            <w:vAlign w:val="bottom"/>
            <w:hideMark/>
          </w:tcPr>
          <w:p w:rsidR="005E41EB" w:rsidRPr="005E41EB" w:rsidRDefault="005E41EB" w:rsidP="005E41EB">
            <w:pPr>
              <w:overflowPunct/>
              <w:autoSpaceDE/>
              <w:autoSpaceDN/>
              <w:adjustRightInd/>
              <w:spacing w:after="60"/>
              <w:jc w:val="right"/>
              <w:textAlignment w:val="auto"/>
              <w:rPr>
                <w:color w:val="000000"/>
              </w:rPr>
            </w:pPr>
            <w:r w:rsidRPr="005E41EB">
              <w:rPr>
                <w:color w:val="000000"/>
              </w:rPr>
              <w:t>82%</w:t>
            </w:r>
          </w:p>
        </w:tc>
        <w:tc>
          <w:tcPr>
            <w:tcW w:w="0" w:type="auto"/>
            <w:tcBorders>
              <w:top w:val="nil"/>
              <w:left w:val="nil"/>
              <w:bottom w:val="single" w:sz="12" w:space="0" w:color="auto"/>
              <w:right w:val="nil"/>
            </w:tcBorders>
            <w:shd w:val="clear" w:color="auto" w:fill="auto"/>
            <w:noWrap/>
            <w:vAlign w:val="bottom"/>
            <w:hideMark/>
          </w:tcPr>
          <w:p w:rsidR="005E41EB" w:rsidRPr="005E41EB" w:rsidRDefault="005E41EB" w:rsidP="005E41EB">
            <w:pPr>
              <w:overflowPunct/>
              <w:autoSpaceDE/>
              <w:autoSpaceDN/>
              <w:adjustRightInd/>
              <w:spacing w:after="60"/>
              <w:jc w:val="right"/>
              <w:textAlignment w:val="auto"/>
              <w:rPr>
                <w:color w:val="000000"/>
              </w:rPr>
            </w:pPr>
            <w:r w:rsidRPr="005E41EB">
              <w:rPr>
                <w:color w:val="000000"/>
              </w:rPr>
              <w:t>15%</w:t>
            </w:r>
          </w:p>
        </w:tc>
        <w:tc>
          <w:tcPr>
            <w:tcW w:w="0" w:type="auto"/>
            <w:tcBorders>
              <w:top w:val="nil"/>
              <w:left w:val="nil"/>
              <w:bottom w:val="single" w:sz="12" w:space="0" w:color="auto"/>
              <w:right w:val="nil"/>
            </w:tcBorders>
            <w:shd w:val="clear" w:color="auto" w:fill="auto"/>
            <w:noWrap/>
            <w:vAlign w:val="bottom"/>
            <w:hideMark/>
          </w:tcPr>
          <w:p w:rsidR="005E41EB" w:rsidRPr="005E41EB" w:rsidRDefault="005E41EB" w:rsidP="005E41EB">
            <w:pPr>
              <w:overflowPunct/>
              <w:autoSpaceDE/>
              <w:autoSpaceDN/>
              <w:adjustRightInd/>
              <w:spacing w:after="60"/>
              <w:jc w:val="right"/>
              <w:textAlignment w:val="auto"/>
              <w:rPr>
                <w:color w:val="000000"/>
              </w:rPr>
            </w:pPr>
            <w:r w:rsidRPr="005E41EB">
              <w:rPr>
                <w:color w:val="000000"/>
              </w:rPr>
              <w:t>32%</w:t>
            </w:r>
          </w:p>
        </w:tc>
        <w:tc>
          <w:tcPr>
            <w:tcW w:w="0" w:type="auto"/>
            <w:tcBorders>
              <w:top w:val="nil"/>
              <w:left w:val="nil"/>
              <w:bottom w:val="single" w:sz="12" w:space="0" w:color="auto"/>
              <w:right w:val="nil"/>
            </w:tcBorders>
            <w:shd w:val="clear" w:color="auto" w:fill="auto"/>
            <w:noWrap/>
            <w:vAlign w:val="bottom"/>
            <w:hideMark/>
          </w:tcPr>
          <w:p w:rsidR="005E41EB" w:rsidRPr="005E41EB" w:rsidRDefault="005E41EB" w:rsidP="005E41EB">
            <w:pPr>
              <w:overflowPunct/>
              <w:autoSpaceDE/>
              <w:autoSpaceDN/>
              <w:adjustRightInd/>
              <w:spacing w:after="60"/>
              <w:jc w:val="right"/>
              <w:textAlignment w:val="auto"/>
              <w:rPr>
                <w:color w:val="000000"/>
              </w:rPr>
            </w:pPr>
            <w:r w:rsidRPr="005E41EB">
              <w:rPr>
                <w:color w:val="000000"/>
              </w:rPr>
              <w:t>37%</w:t>
            </w:r>
          </w:p>
        </w:tc>
        <w:tc>
          <w:tcPr>
            <w:tcW w:w="0" w:type="auto"/>
            <w:tcBorders>
              <w:top w:val="nil"/>
              <w:left w:val="nil"/>
              <w:bottom w:val="single" w:sz="12" w:space="0" w:color="auto"/>
              <w:right w:val="nil"/>
            </w:tcBorders>
            <w:shd w:val="clear" w:color="auto" w:fill="auto"/>
            <w:noWrap/>
            <w:vAlign w:val="bottom"/>
            <w:hideMark/>
          </w:tcPr>
          <w:p w:rsidR="005E41EB" w:rsidRPr="005E41EB" w:rsidRDefault="005E41EB" w:rsidP="005E41EB">
            <w:pPr>
              <w:overflowPunct/>
              <w:autoSpaceDE/>
              <w:autoSpaceDN/>
              <w:adjustRightInd/>
              <w:spacing w:after="60"/>
              <w:jc w:val="right"/>
              <w:textAlignment w:val="auto"/>
              <w:rPr>
                <w:color w:val="000000"/>
              </w:rPr>
            </w:pPr>
            <w:r w:rsidRPr="005E41EB">
              <w:rPr>
                <w:color w:val="000000"/>
              </w:rPr>
              <w:t>4%</w:t>
            </w:r>
          </w:p>
        </w:tc>
        <w:tc>
          <w:tcPr>
            <w:tcW w:w="0" w:type="auto"/>
            <w:tcBorders>
              <w:top w:val="nil"/>
              <w:left w:val="nil"/>
              <w:bottom w:val="single" w:sz="12" w:space="0" w:color="auto"/>
              <w:right w:val="nil"/>
            </w:tcBorders>
            <w:shd w:val="clear" w:color="auto" w:fill="auto"/>
            <w:noWrap/>
            <w:vAlign w:val="bottom"/>
            <w:hideMark/>
          </w:tcPr>
          <w:p w:rsidR="005E41EB" w:rsidRPr="005E41EB" w:rsidRDefault="005E41EB" w:rsidP="005E41EB">
            <w:pPr>
              <w:overflowPunct/>
              <w:autoSpaceDE/>
              <w:autoSpaceDN/>
              <w:adjustRightInd/>
              <w:spacing w:after="60"/>
              <w:jc w:val="right"/>
              <w:textAlignment w:val="auto"/>
              <w:rPr>
                <w:color w:val="000000"/>
              </w:rPr>
            </w:pPr>
            <w:r w:rsidRPr="005E41EB">
              <w:rPr>
                <w:color w:val="000000"/>
              </w:rPr>
              <w:t>10%</w:t>
            </w:r>
          </w:p>
        </w:tc>
        <w:tc>
          <w:tcPr>
            <w:tcW w:w="0" w:type="auto"/>
            <w:tcBorders>
              <w:top w:val="nil"/>
              <w:left w:val="nil"/>
              <w:bottom w:val="single" w:sz="12" w:space="0" w:color="auto"/>
              <w:right w:val="nil"/>
            </w:tcBorders>
            <w:shd w:val="clear" w:color="auto" w:fill="auto"/>
            <w:noWrap/>
            <w:vAlign w:val="bottom"/>
            <w:hideMark/>
          </w:tcPr>
          <w:p w:rsidR="005E41EB" w:rsidRPr="005E41EB" w:rsidRDefault="005E41EB" w:rsidP="005E41EB">
            <w:pPr>
              <w:overflowPunct/>
              <w:autoSpaceDE/>
              <w:autoSpaceDN/>
              <w:adjustRightInd/>
              <w:spacing w:after="60"/>
              <w:jc w:val="right"/>
              <w:textAlignment w:val="auto"/>
              <w:rPr>
                <w:color w:val="000000"/>
              </w:rPr>
            </w:pPr>
            <w:r w:rsidRPr="005E41EB">
              <w:rPr>
                <w:color w:val="000000"/>
              </w:rPr>
              <w:t>11%</w:t>
            </w:r>
          </w:p>
        </w:tc>
      </w:tr>
      <w:tr w:rsidR="005E41EB" w:rsidRPr="005E41EB" w:rsidTr="00F044F4">
        <w:trPr>
          <w:trHeight w:val="20"/>
        </w:trPr>
        <w:tc>
          <w:tcPr>
            <w:tcW w:w="9004" w:type="dxa"/>
            <w:gridSpan w:val="13"/>
            <w:tcBorders>
              <w:top w:val="single" w:sz="12" w:space="0" w:color="auto"/>
              <w:left w:val="nil"/>
              <w:bottom w:val="nil"/>
              <w:right w:val="nil"/>
            </w:tcBorders>
            <w:shd w:val="clear" w:color="auto" w:fill="auto"/>
            <w:noWrap/>
            <w:vAlign w:val="bottom"/>
            <w:hideMark/>
          </w:tcPr>
          <w:p w:rsidR="005E41EB" w:rsidRPr="005E41EB" w:rsidRDefault="005E41EB" w:rsidP="001F61F1">
            <w:pPr>
              <w:overflowPunct/>
              <w:autoSpaceDE/>
              <w:autoSpaceDN/>
              <w:adjustRightInd/>
              <w:spacing w:before="80"/>
              <w:textAlignment w:val="auto"/>
              <w:rPr>
                <w:color w:val="000000"/>
              </w:rPr>
            </w:pPr>
            <w:r w:rsidRPr="005E41EB">
              <w:rPr>
                <w:b/>
                <w:bCs/>
                <w:color w:val="000000"/>
              </w:rPr>
              <w:t xml:space="preserve">Panel C. </w:t>
            </w:r>
            <w:r w:rsidR="00A17102">
              <w:rPr>
                <w:color w:val="000000"/>
              </w:rPr>
              <w:t xml:space="preserve"> VAR:3</w:t>
            </w:r>
          </w:p>
        </w:tc>
      </w:tr>
      <w:tr w:rsidR="005E41EB" w:rsidRPr="005E41EB" w:rsidTr="00F044F4">
        <w:trPr>
          <w:trHeight w:val="20"/>
        </w:trPr>
        <w:tc>
          <w:tcPr>
            <w:tcW w:w="1939" w:type="dxa"/>
            <w:tcBorders>
              <w:top w:val="nil"/>
              <w:left w:val="nil"/>
              <w:bottom w:val="nil"/>
              <w:right w:val="nil"/>
            </w:tcBorders>
            <w:shd w:val="clear" w:color="auto" w:fill="auto"/>
            <w:noWrap/>
            <w:vAlign w:val="bottom"/>
            <w:hideMark/>
          </w:tcPr>
          <w:p w:rsidR="005E41EB" w:rsidRPr="005E41EB" w:rsidRDefault="005E41EB" w:rsidP="005E41EB">
            <w:pPr>
              <w:overflowPunct/>
              <w:autoSpaceDE/>
              <w:autoSpaceDN/>
              <w:adjustRightInd/>
              <w:jc w:val="right"/>
              <w:textAlignment w:val="auto"/>
              <w:rPr>
                <w:i/>
                <w:color w:val="000000"/>
              </w:rPr>
            </w:pPr>
            <w:r w:rsidRPr="005E41EB">
              <w:rPr>
                <w:i/>
                <w:color w:val="000000"/>
              </w:rPr>
              <w:t>Variance of:</w:t>
            </w:r>
          </w:p>
        </w:tc>
        <w:tc>
          <w:tcPr>
            <w:tcW w:w="0" w:type="auto"/>
            <w:gridSpan w:val="3"/>
            <w:tcBorders>
              <w:top w:val="nil"/>
              <w:left w:val="nil"/>
              <w:bottom w:val="nil"/>
              <w:right w:val="nil"/>
            </w:tcBorders>
            <w:shd w:val="clear" w:color="auto" w:fill="auto"/>
            <w:noWrap/>
            <w:vAlign w:val="bottom"/>
            <w:hideMark/>
          </w:tcPr>
          <w:p w:rsidR="005E41EB" w:rsidRPr="005E41EB" w:rsidRDefault="005E41EB" w:rsidP="005E41EB">
            <w:pPr>
              <w:overflowPunct/>
              <w:autoSpaceDE/>
              <w:autoSpaceDN/>
              <w:adjustRightInd/>
              <w:jc w:val="center"/>
              <w:textAlignment w:val="auto"/>
              <w:rPr>
                <w:i/>
                <w:iCs/>
                <w:color w:val="000000"/>
              </w:rPr>
            </w:pPr>
            <w:r w:rsidRPr="005E41EB">
              <w:rPr>
                <w:i/>
                <w:iCs/>
                <w:color w:val="000000"/>
              </w:rPr>
              <w:t>Income Returns</w:t>
            </w:r>
          </w:p>
        </w:tc>
        <w:tc>
          <w:tcPr>
            <w:tcW w:w="0" w:type="auto"/>
            <w:gridSpan w:val="3"/>
            <w:tcBorders>
              <w:top w:val="nil"/>
              <w:left w:val="nil"/>
              <w:bottom w:val="nil"/>
              <w:right w:val="nil"/>
            </w:tcBorders>
            <w:shd w:val="clear" w:color="auto" w:fill="auto"/>
            <w:noWrap/>
            <w:vAlign w:val="bottom"/>
            <w:hideMark/>
          </w:tcPr>
          <w:p w:rsidR="005E41EB" w:rsidRPr="005E41EB" w:rsidRDefault="001F61F1" w:rsidP="005E41EB">
            <w:pPr>
              <w:overflowPunct/>
              <w:autoSpaceDE/>
              <w:autoSpaceDN/>
              <w:adjustRightInd/>
              <w:jc w:val="center"/>
              <w:textAlignment w:val="auto"/>
              <w:rPr>
                <w:i/>
                <w:iCs/>
                <w:color w:val="000000"/>
              </w:rPr>
            </w:pPr>
            <w:r>
              <w:rPr>
                <w:i/>
                <w:iCs/>
                <w:color w:val="000000"/>
              </w:rPr>
              <w:t xml:space="preserve">CRE </w:t>
            </w:r>
            <w:r w:rsidR="005E41EB" w:rsidRPr="005E41EB">
              <w:rPr>
                <w:i/>
                <w:iCs/>
                <w:color w:val="000000"/>
              </w:rPr>
              <w:t>Lending Index</w:t>
            </w:r>
          </w:p>
        </w:tc>
        <w:tc>
          <w:tcPr>
            <w:tcW w:w="0" w:type="auto"/>
            <w:gridSpan w:val="3"/>
            <w:tcBorders>
              <w:top w:val="nil"/>
              <w:left w:val="nil"/>
              <w:bottom w:val="nil"/>
              <w:right w:val="nil"/>
            </w:tcBorders>
            <w:shd w:val="clear" w:color="auto" w:fill="auto"/>
            <w:noWrap/>
            <w:vAlign w:val="bottom"/>
            <w:hideMark/>
          </w:tcPr>
          <w:p w:rsidR="005E41EB" w:rsidRPr="005E41EB" w:rsidRDefault="005E41EB" w:rsidP="005E41EB">
            <w:pPr>
              <w:overflowPunct/>
              <w:autoSpaceDE/>
              <w:autoSpaceDN/>
              <w:adjustRightInd/>
              <w:jc w:val="center"/>
              <w:textAlignment w:val="auto"/>
              <w:rPr>
                <w:i/>
                <w:iCs/>
                <w:color w:val="000000"/>
              </w:rPr>
            </w:pPr>
            <w:r w:rsidRPr="005E41EB">
              <w:rPr>
                <w:i/>
                <w:iCs/>
                <w:color w:val="000000"/>
              </w:rPr>
              <w:t>Capital Gains</w:t>
            </w:r>
          </w:p>
        </w:tc>
        <w:tc>
          <w:tcPr>
            <w:tcW w:w="0" w:type="auto"/>
            <w:tcBorders>
              <w:top w:val="nil"/>
              <w:left w:val="nil"/>
              <w:bottom w:val="nil"/>
              <w:right w:val="nil"/>
            </w:tcBorders>
            <w:shd w:val="clear" w:color="auto" w:fill="auto"/>
            <w:noWrap/>
            <w:vAlign w:val="bottom"/>
            <w:hideMark/>
          </w:tcPr>
          <w:p w:rsidR="005E41EB" w:rsidRPr="005E41EB" w:rsidRDefault="005E41EB" w:rsidP="005E41EB">
            <w:pPr>
              <w:overflowPunct/>
              <w:autoSpaceDE/>
              <w:autoSpaceDN/>
              <w:adjustRightInd/>
              <w:textAlignment w:val="auto"/>
              <w:rPr>
                <w:color w:val="000000"/>
              </w:rPr>
            </w:pPr>
          </w:p>
        </w:tc>
        <w:tc>
          <w:tcPr>
            <w:tcW w:w="0" w:type="auto"/>
            <w:tcBorders>
              <w:top w:val="nil"/>
              <w:left w:val="nil"/>
              <w:bottom w:val="nil"/>
              <w:right w:val="nil"/>
            </w:tcBorders>
            <w:shd w:val="clear" w:color="auto" w:fill="auto"/>
            <w:noWrap/>
            <w:vAlign w:val="bottom"/>
            <w:hideMark/>
          </w:tcPr>
          <w:p w:rsidR="005E41EB" w:rsidRPr="005E41EB" w:rsidRDefault="005E41EB" w:rsidP="005E41EB">
            <w:pPr>
              <w:overflowPunct/>
              <w:autoSpaceDE/>
              <w:autoSpaceDN/>
              <w:adjustRightInd/>
              <w:textAlignment w:val="auto"/>
              <w:rPr>
                <w:color w:val="000000"/>
              </w:rPr>
            </w:pPr>
          </w:p>
        </w:tc>
        <w:tc>
          <w:tcPr>
            <w:tcW w:w="0" w:type="auto"/>
            <w:tcBorders>
              <w:top w:val="nil"/>
              <w:left w:val="nil"/>
              <w:bottom w:val="nil"/>
              <w:right w:val="nil"/>
            </w:tcBorders>
            <w:shd w:val="clear" w:color="auto" w:fill="auto"/>
            <w:noWrap/>
            <w:vAlign w:val="bottom"/>
            <w:hideMark/>
          </w:tcPr>
          <w:p w:rsidR="005E41EB" w:rsidRPr="005E41EB" w:rsidRDefault="005E41EB" w:rsidP="005E41EB">
            <w:pPr>
              <w:overflowPunct/>
              <w:autoSpaceDE/>
              <w:autoSpaceDN/>
              <w:adjustRightInd/>
              <w:textAlignment w:val="auto"/>
              <w:rPr>
                <w:color w:val="000000"/>
              </w:rPr>
            </w:pPr>
          </w:p>
        </w:tc>
      </w:tr>
      <w:tr w:rsidR="005E41EB" w:rsidRPr="005E41EB" w:rsidTr="00F044F4">
        <w:trPr>
          <w:trHeight w:val="20"/>
        </w:trPr>
        <w:tc>
          <w:tcPr>
            <w:tcW w:w="1939" w:type="dxa"/>
            <w:tcBorders>
              <w:top w:val="nil"/>
              <w:left w:val="nil"/>
              <w:bottom w:val="double" w:sz="6" w:space="0" w:color="auto"/>
              <w:right w:val="nil"/>
            </w:tcBorders>
            <w:shd w:val="clear" w:color="auto" w:fill="auto"/>
            <w:noWrap/>
            <w:vAlign w:val="bottom"/>
            <w:hideMark/>
          </w:tcPr>
          <w:p w:rsidR="005E41EB" w:rsidRPr="005E41EB" w:rsidRDefault="00C902DA" w:rsidP="00C902DA">
            <w:pPr>
              <w:overflowPunct/>
              <w:autoSpaceDE/>
              <w:autoSpaceDN/>
              <w:adjustRightInd/>
              <w:jc w:val="right"/>
              <w:textAlignment w:val="auto"/>
              <w:rPr>
                <w:color w:val="000000"/>
              </w:rPr>
            </w:pPr>
            <w:r>
              <w:rPr>
                <w:color w:val="000000"/>
              </w:rPr>
              <w:t>Forecast period:</w:t>
            </w:r>
          </w:p>
        </w:tc>
        <w:tc>
          <w:tcPr>
            <w:tcW w:w="0" w:type="auto"/>
            <w:tcBorders>
              <w:top w:val="nil"/>
              <w:left w:val="nil"/>
              <w:bottom w:val="double" w:sz="6" w:space="0" w:color="auto"/>
              <w:right w:val="nil"/>
            </w:tcBorders>
            <w:shd w:val="clear" w:color="auto" w:fill="auto"/>
            <w:noWrap/>
            <w:vAlign w:val="bottom"/>
            <w:hideMark/>
          </w:tcPr>
          <w:p w:rsidR="005E41EB" w:rsidRPr="005E41EB" w:rsidRDefault="005E41EB" w:rsidP="005E41EB">
            <w:pPr>
              <w:overflowPunct/>
              <w:autoSpaceDE/>
              <w:autoSpaceDN/>
              <w:adjustRightInd/>
              <w:jc w:val="center"/>
              <w:textAlignment w:val="auto"/>
              <w:rPr>
                <w:color w:val="000000"/>
              </w:rPr>
            </w:pPr>
            <w:r w:rsidRPr="005E41EB">
              <w:rPr>
                <w:color w:val="000000"/>
              </w:rPr>
              <w:t>4</w:t>
            </w:r>
          </w:p>
        </w:tc>
        <w:tc>
          <w:tcPr>
            <w:tcW w:w="0" w:type="auto"/>
            <w:tcBorders>
              <w:top w:val="nil"/>
              <w:left w:val="nil"/>
              <w:bottom w:val="double" w:sz="6" w:space="0" w:color="auto"/>
              <w:right w:val="nil"/>
            </w:tcBorders>
            <w:shd w:val="clear" w:color="auto" w:fill="auto"/>
            <w:noWrap/>
            <w:vAlign w:val="bottom"/>
            <w:hideMark/>
          </w:tcPr>
          <w:p w:rsidR="005E41EB" w:rsidRPr="005E41EB" w:rsidRDefault="005E41EB" w:rsidP="005E41EB">
            <w:pPr>
              <w:overflowPunct/>
              <w:autoSpaceDE/>
              <w:autoSpaceDN/>
              <w:adjustRightInd/>
              <w:jc w:val="center"/>
              <w:textAlignment w:val="auto"/>
              <w:rPr>
                <w:color w:val="000000"/>
              </w:rPr>
            </w:pPr>
            <w:r w:rsidRPr="005E41EB">
              <w:rPr>
                <w:color w:val="000000"/>
              </w:rPr>
              <w:t>8</w:t>
            </w:r>
          </w:p>
        </w:tc>
        <w:tc>
          <w:tcPr>
            <w:tcW w:w="0" w:type="auto"/>
            <w:tcBorders>
              <w:top w:val="nil"/>
              <w:left w:val="nil"/>
              <w:bottom w:val="double" w:sz="6" w:space="0" w:color="auto"/>
              <w:right w:val="nil"/>
            </w:tcBorders>
            <w:shd w:val="clear" w:color="auto" w:fill="auto"/>
            <w:noWrap/>
            <w:vAlign w:val="bottom"/>
            <w:hideMark/>
          </w:tcPr>
          <w:p w:rsidR="005E41EB" w:rsidRPr="005E41EB" w:rsidRDefault="005E41EB" w:rsidP="005E41EB">
            <w:pPr>
              <w:overflowPunct/>
              <w:autoSpaceDE/>
              <w:autoSpaceDN/>
              <w:adjustRightInd/>
              <w:jc w:val="center"/>
              <w:textAlignment w:val="auto"/>
              <w:rPr>
                <w:color w:val="000000"/>
              </w:rPr>
            </w:pPr>
            <w:r w:rsidRPr="005E41EB">
              <w:rPr>
                <w:color w:val="000000"/>
              </w:rPr>
              <w:t>12</w:t>
            </w:r>
          </w:p>
        </w:tc>
        <w:tc>
          <w:tcPr>
            <w:tcW w:w="0" w:type="auto"/>
            <w:tcBorders>
              <w:top w:val="nil"/>
              <w:left w:val="nil"/>
              <w:bottom w:val="double" w:sz="6" w:space="0" w:color="auto"/>
              <w:right w:val="nil"/>
            </w:tcBorders>
            <w:shd w:val="clear" w:color="auto" w:fill="auto"/>
            <w:noWrap/>
            <w:vAlign w:val="bottom"/>
            <w:hideMark/>
          </w:tcPr>
          <w:p w:rsidR="005E41EB" w:rsidRPr="005E41EB" w:rsidRDefault="005E41EB" w:rsidP="005E41EB">
            <w:pPr>
              <w:overflowPunct/>
              <w:autoSpaceDE/>
              <w:autoSpaceDN/>
              <w:adjustRightInd/>
              <w:jc w:val="center"/>
              <w:textAlignment w:val="auto"/>
              <w:rPr>
                <w:color w:val="000000"/>
              </w:rPr>
            </w:pPr>
            <w:r w:rsidRPr="005E41EB">
              <w:rPr>
                <w:color w:val="000000"/>
              </w:rPr>
              <w:t>4</w:t>
            </w:r>
          </w:p>
        </w:tc>
        <w:tc>
          <w:tcPr>
            <w:tcW w:w="0" w:type="auto"/>
            <w:tcBorders>
              <w:top w:val="nil"/>
              <w:left w:val="nil"/>
              <w:bottom w:val="double" w:sz="6" w:space="0" w:color="auto"/>
              <w:right w:val="nil"/>
            </w:tcBorders>
            <w:shd w:val="clear" w:color="auto" w:fill="auto"/>
            <w:noWrap/>
            <w:vAlign w:val="bottom"/>
            <w:hideMark/>
          </w:tcPr>
          <w:p w:rsidR="005E41EB" w:rsidRPr="005E41EB" w:rsidRDefault="005E41EB" w:rsidP="005E41EB">
            <w:pPr>
              <w:overflowPunct/>
              <w:autoSpaceDE/>
              <w:autoSpaceDN/>
              <w:adjustRightInd/>
              <w:jc w:val="center"/>
              <w:textAlignment w:val="auto"/>
              <w:rPr>
                <w:color w:val="000000"/>
              </w:rPr>
            </w:pPr>
            <w:r w:rsidRPr="005E41EB">
              <w:rPr>
                <w:color w:val="000000"/>
              </w:rPr>
              <w:t>8</w:t>
            </w:r>
          </w:p>
        </w:tc>
        <w:tc>
          <w:tcPr>
            <w:tcW w:w="0" w:type="auto"/>
            <w:tcBorders>
              <w:top w:val="nil"/>
              <w:left w:val="nil"/>
              <w:bottom w:val="double" w:sz="6" w:space="0" w:color="auto"/>
              <w:right w:val="nil"/>
            </w:tcBorders>
            <w:shd w:val="clear" w:color="auto" w:fill="auto"/>
            <w:noWrap/>
            <w:vAlign w:val="bottom"/>
            <w:hideMark/>
          </w:tcPr>
          <w:p w:rsidR="005E41EB" w:rsidRPr="005E41EB" w:rsidRDefault="005E41EB" w:rsidP="005E41EB">
            <w:pPr>
              <w:overflowPunct/>
              <w:autoSpaceDE/>
              <w:autoSpaceDN/>
              <w:adjustRightInd/>
              <w:jc w:val="center"/>
              <w:textAlignment w:val="auto"/>
              <w:rPr>
                <w:color w:val="000000"/>
              </w:rPr>
            </w:pPr>
            <w:r w:rsidRPr="005E41EB">
              <w:rPr>
                <w:color w:val="000000"/>
              </w:rPr>
              <w:t>12</w:t>
            </w:r>
          </w:p>
        </w:tc>
        <w:tc>
          <w:tcPr>
            <w:tcW w:w="0" w:type="auto"/>
            <w:tcBorders>
              <w:top w:val="nil"/>
              <w:left w:val="nil"/>
              <w:bottom w:val="double" w:sz="6" w:space="0" w:color="auto"/>
              <w:right w:val="nil"/>
            </w:tcBorders>
            <w:shd w:val="clear" w:color="auto" w:fill="auto"/>
            <w:noWrap/>
            <w:vAlign w:val="bottom"/>
            <w:hideMark/>
          </w:tcPr>
          <w:p w:rsidR="005E41EB" w:rsidRPr="005E41EB" w:rsidRDefault="005E41EB" w:rsidP="005E41EB">
            <w:pPr>
              <w:overflowPunct/>
              <w:autoSpaceDE/>
              <w:autoSpaceDN/>
              <w:adjustRightInd/>
              <w:jc w:val="center"/>
              <w:textAlignment w:val="auto"/>
              <w:rPr>
                <w:color w:val="000000"/>
              </w:rPr>
            </w:pPr>
            <w:r w:rsidRPr="005E41EB">
              <w:rPr>
                <w:color w:val="000000"/>
              </w:rPr>
              <w:t>4</w:t>
            </w:r>
          </w:p>
        </w:tc>
        <w:tc>
          <w:tcPr>
            <w:tcW w:w="0" w:type="auto"/>
            <w:tcBorders>
              <w:top w:val="nil"/>
              <w:left w:val="nil"/>
              <w:bottom w:val="double" w:sz="6" w:space="0" w:color="auto"/>
              <w:right w:val="nil"/>
            </w:tcBorders>
            <w:shd w:val="clear" w:color="auto" w:fill="auto"/>
            <w:noWrap/>
            <w:vAlign w:val="bottom"/>
            <w:hideMark/>
          </w:tcPr>
          <w:p w:rsidR="005E41EB" w:rsidRPr="005E41EB" w:rsidRDefault="005E41EB" w:rsidP="005E41EB">
            <w:pPr>
              <w:overflowPunct/>
              <w:autoSpaceDE/>
              <w:autoSpaceDN/>
              <w:adjustRightInd/>
              <w:jc w:val="center"/>
              <w:textAlignment w:val="auto"/>
              <w:rPr>
                <w:color w:val="000000"/>
              </w:rPr>
            </w:pPr>
            <w:r w:rsidRPr="005E41EB">
              <w:rPr>
                <w:color w:val="000000"/>
              </w:rPr>
              <w:t>8</w:t>
            </w:r>
          </w:p>
        </w:tc>
        <w:tc>
          <w:tcPr>
            <w:tcW w:w="0" w:type="auto"/>
            <w:tcBorders>
              <w:top w:val="nil"/>
              <w:left w:val="nil"/>
              <w:bottom w:val="double" w:sz="6" w:space="0" w:color="auto"/>
              <w:right w:val="nil"/>
            </w:tcBorders>
            <w:shd w:val="clear" w:color="auto" w:fill="auto"/>
            <w:noWrap/>
            <w:vAlign w:val="bottom"/>
            <w:hideMark/>
          </w:tcPr>
          <w:p w:rsidR="005E41EB" w:rsidRPr="005E41EB" w:rsidRDefault="005E41EB" w:rsidP="005E41EB">
            <w:pPr>
              <w:overflowPunct/>
              <w:autoSpaceDE/>
              <w:autoSpaceDN/>
              <w:adjustRightInd/>
              <w:jc w:val="center"/>
              <w:textAlignment w:val="auto"/>
              <w:rPr>
                <w:color w:val="000000"/>
              </w:rPr>
            </w:pPr>
            <w:r w:rsidRPr="005E41EB">
              <w:rPr>
                <w:color w:val="000000"/>
              </w:rPr>
              <w:t>12</w:t>
            </w:r>
          </w:p>
        </w:tc>
        <w:tc>
          <w:tcPr>
            <w:tcW w:w="0" w:type="auto"/>
            <w:tcBorders>
              <w:top w:val="nil"/>
              <w:left w:val="nil"/>
              <w:bottom w:val="nil"/>
              <w:right w:val="nil"/>
            </w:tcBorders>
            <w:shd w:val="clear" w:color="auto" w:fill="auto"/>
            <w:noWrap/>
            <w:vAlign w:val="bottom"/>
            <w:hideMark/>
          </w:tcPr>
          <w:p w:rsidR="005E41EB" w:rsidRPr="005E41EB" w:rsidRDefault="005E41EB" w:rsidP="005E41EB">
            <w:pPr>
              <w:overflowPunct/>
              <w:autoSpaceDE/>
              <w:autoSpaceDN/>
              <w:adjustRightInd/>
              <w:textAlignment w:val="auto"/>
              <w:rPr>
                <w:color w:val="000000"/>
              </w:rPr>
            </w:pPr>
          </w:p>
        </w:tc>
        <w:tc>
          <w:tcPr>
            <w:tcW w:w="0" w:type="auto"/>
            <w:tcBorders>
              <w:top w:val="nil"/>
              <w:left w:val="nil"/>
              <w:bottom w:val="nil"/>
              <w:right w:val="nil"/>
            </w:tcBorders>
            <w:shd w:val="clear" w:color="auto" w:fill="auto"/>
            <w:noWrap/>
            <w:vAlign w:val="bottom"/>
            <w:hideMark/>
          </w:tcPr>
          <w:p w:rsidR="005E41EB" w:rsidRPr="005E41EB" w:rsidRDefault="005E41EB" w:rsidP="005E41EB">
            <w:pPr>
              <w:overflowPunct/>
              <w:autoSpaceDE/>
              <w:autoSpaceDN/>
              <w:adjustRightInd/>
              <w:textAlignment w:val="auto"/>
              <w:rPr>
                <w:color w:val="000000"/>
              </w:rPr>
            </w:pPr>
          </w:p>
        </w:tc>
        <w:tc>
          <w:tcPr>
            <w:tcW w:w="0" w:type="auto"/>
            <w:tcBorders>
              <w:top w:val="nil"/>
              <w:left w:val="nil"/>
              <w:bottom w:val="nil"/>
              <w:right w:val="nil"/>
            </w:tcBorders>
            <w:shd w:val="clear" w:color="auto" w:fill="auto"/>
            <w:noWrap/>
            <w:vAlign w:val="bottom"/>
            <w:hideMark/>
          </w:tcPr>
          <w:p w:rsidR="005E41EB" w:rsidRPr="005E41EB" w:rsidRDefault="005E41EB" w:rsidP="005E41EB">
            <w:pPr>
              <w:overflowPunct/>
              <w:autoSpaceDE/>
              <w:autoSpaceDN/>
              <w:adjustRightInd/>
              <w:textAlignment w:val="auto"/>
              <w:rPr>
                <w:color w:val="000000"/>
              </w:rPr>
            </w:pPr>
          </w:p>
        </w:tc>
      </w:tr>
      <w:tr w:rsidR="005E41EB" w:rsidRPr="005E41EB" w:rsidTr="00F044F4">
        <w:trPr>
          <w:trHeight w:val="20"/>
        </w:trPr>
        <w:tc>
          <w:tcPr>
            <w:tcW w:w="1939" w:type="dxa"/>
            <w:tcBorders>
              <w:top w:val="nil"/>
              <w:left w:val="nil"/>
              <w:bottom w:val="nil"/>
              <w:right w:val="nil"/>
            </w:tcBorders>
            <w:shd w:val="clear" w:color="auto" w:fill="auto"/>
            <w:noWrap/>
            <w:vAlign w:val="bottom"/>
            <w:hideMark/>
          </w:tcPr>
          <w:p w:rsidR="005E41EB" w:rsidRPr="005E41EB" w:rsidRDefault="005E41EB" w:rsidP="005E41EB">
            <w:pPr>
              <w:overflowPunct/>
              <w:autoSpaceDE/>
              <w:autoSpaceDN/>
              <w:adjustRightInd/>
              <w:spacing w:before="60"/>
              <w:textAlignment w:val="auto"/>
              <w:rPr>
                <w:color w:val="000000"/>
              </w:rPr>
            </w:pPr>
            <w:r w:rsidRPr="005E41EB">
              <w:rPr>
                <w:color w:val="000000"/>
              </w:rPr>
              <w:t>Income Returns</w:t>
            </w:r>
          </w:p>
        </w:tc>
        <w:tc>
          <w:tcPr>
            <w:tcW w:w="0" w:type="auto"/>
            <w:tcBorders>
              <w:top w:val="nil"/>
              <w:left w:val="nil"/>
              <w:bottom w:val="nil"/>
              <w:right w:val="nil"/>
            </w:tcBorders>
            <w:shd w:val="clear" w:color="auto" w:fill="auto"/>
            <w:noWrap/>
            <w:vAlign w:val="bottom"/>
            <w:hideMark/>
          </w:tcPr>
          <w:p w:rsidR="005E41EB" w:rsidRPr="005E41EB" w:rsidRDefault="005E41EB" w:rsidP="005E41EB">
            <w:pPr>
              <w:overflowPunct/>
              <w:autoSpaceDE/>
              <w:autoSpaceDN/>
              <w:adjustRightInd/>
              <w:spacing w:before="60"/>
              <w:jc w:val="right"/>
              <w:textAlignment w:val="auto"/>
              <w:rPr>
                <w:color w:val="000000"/>
              </w:rPr>
            </w:pPr>
            <w:r w:rsidRPr="005E41EB">
              <w:rPr>
                <w:color w:val="000000"/>
              </w:rPr>
              <w:t>74%</w:t>
            </w:r>
          </w:p>
        </w:tc>
        <w:tc>
          <w:tcPr>
            <w:tcW w:w="0" w:type="auto"/>
            <w:tcBorders>
              <w:top w:val="nil"/>
              <w:left w:val="nil"/>
              <w:bottom w:val="nil"/>
              <w:right w:val="nil"/>
            </w:tcBorders>
            <w:shd w:val="clear" w:color="auto" w:fill="auto"/>
            <w:noWrap/>
            <w:vAlign w:val="bottom"/>
            <w:hideMark/>
          </w:tcPr>
          <w:p w:rsidR="005E41EB" w:rsidRPr="005E41EB" w:rsidRDefault="005E41EB" w:rsidP="005E41EB">
            <w:pPr>
              <w:overflowPunct/>
              <w:autoSpaceDE/>
              <w:autoSpaceDN/>
              <w:adjustRightInd/>
              <w:spacing w:before="60"/>
              <w:jc w:val="right"/>
              <w:textAlignment w:val="auto"/>
              <w:rPr>
                <w:color w:val="000000"/>
              </w:rPr>
            </w:pPr>
            <w:r w:rsidRPr="005E41EB">
              <w:rPr>
                <w:color w:val="000000"/>
              </w:rPr>
              <w:t>48%</w:t>
            </w:r>
          </w:p>
        </w:tc>
        <w:tc>
          <w:tcPr>
            <w:tcW w:w="0" w:type="auto"/>
            <w:tcBorders>
              <w:top w:val="nil"/>
              <w:left w:val="nil"/>
              <w:bottom w:val="nil"/>
              <w:right w:val="nil"/>
            </w:tcBorders>
            <w:shd w:val="clear" w:color="auto" w:fill="auto"/>
            <w:noWrap/>
            <w:vAlign w:val="bottom"/>
            <w:hideMark/>
          </w:tcPr>
          <w:p w:rsidR="005E41EB" w:rsidRPr="005E41EB" w:rsidRDefault="005E41EB" w:rsidP="005E41EB">
            <w:pPr>
              <w:overflowPunct/>
              <w:autoSpaceDE/>
              <w:autoSpaceDN/>
              <w:adjustRightInd/>
              <w:spacing w:before="60"/>
              <w:jc w:val="right"/>
              <w:textAlignment w:val="auto"/>
              <w:rPr>
                <w:color w:val="000000"/>
              </w:rPr>
            </w:pPr>
            <w:r w:rsidRPr="005E41EB">
              <w:rPr>
                <w:color w:val="000000"/>
              </w:rPr>
              <w:t>35%</w:t>
            </w:r>
          </w:p>
        </w:tc>
        <w:tc>
          <w:tcPr>
            <w:tcW w:w="0" w:type="auto"/>
            <w:tcBorders>
              <w:top w:val="nil"/>
              <w:left w:val="nil"/>
              <w:bottom w:val="nil"/>
              <w:right w:val="nil"/>
            </w:tcBorders>
            <w:shd w:val="clear" w:color="auto" w:fill="auto"/>
            <w:noWrap/>
            <w:vAlign w:val="bottom"/>
            <w:hideMark/>
          </w:tcPr>
          <w:p w:rsidR="005E41EB" w:rsidRPr="005E41EB" w:rsidRDefault="005E41EB" w:rsidP="005E41EB">
            <w:pPr>
              <w:overflowPunct/>
              <w:autoSpaceDE/>
              <w:autoSpaceDN/>
              <w:adjustRightInd/>
              <w:spacing w:before="60"/>
              <w:jc w:val="right"/>
              <w:textAlignment w:val="auto"/>
              <w:rPr>
                <w:color w:val="000000"/>
              </w:rPr>
            </w:pPr>
            <w:r w:rsidRPr="005E41EB">
              <w:rPr>
                <w:color w:val="000000"/>
              </w:rPr>
              <w:t>7%</w:t>
            </w:r>
          </w:p>
        </w:tc>
        <w:tc>
          <w:tcPr>
            <w:tcW w:w="0" w:type="auto"/>
            <w:tcBorders>
              <w:top w:val="nil"/>
              <w:left w:val="nil"/>
              <w:bottom w:val="nil"/>
              <w:right w:val="nil"/>
            </w:tcBorders>
            <w:shd w:val="clear" w:color="auto" w:fill="auto"/>
            <w:noWrap/>
            <w:vAlign w:val="bottom"/>
            <w:hideMark/>
          </w:tcPr>
          <w:p w:rsidR="005E41EB" w:rsidRPr="005E41EB" w:rsidRDefault="005E41EB" w:rsidP="005E41EB">
            <w:pPr>
              <w:overflowPunct/>
              <w:autoSpaceDE/>
              <w:autoSpaceDN/>
              <w:adjustRightInd/>
              <w:spacing w:before="60"/>
              <w:jc w:val="right"/>
              <w:textAlignment w:val="auto"/>
              <w:rPr>
                <w:color w:val="000000"/>
              </w:rPr>
            </w:pPr>
            <w:r w:rsidRPr="005E41EB">
              <w:rPr>
                <w:color w:val="000000"/>
              </w:rPr>
              <w:t>11%</w:t>
            </w:r>
          </w:p>
        </w:tc>
        <w:tc>
          <w:tcPr>
            <w:tcW w:w="0" w:type="auto"/>
            <w:tcBorders>
              <w:top w:val="nil"/>
              <w:left w:val="nil"/>
              <w:bottom w:val="nil"/>
              <w:right w:val="nil"/>
            </w:tcBorders>
            <w:shd w:val="clear" w:color="auto" w:fill="auto"/>
            <w:noWrap/>
            <w:vAlign w:val="bottom"/>
            <w:hideMark/>
          </w:tcPr>
          <w:p w:rsidR="005E41EB" w:rsidRPr="005E41EB" w:rsidRDefault="005E41EB" w:rsidP="005E41EB">
            <w:pPr>
              <w:overflowPunct/>
              <w:autoSpaceDE/>
              <w:autoSpaceDN/>
              <w:adjustRightInd/>
              <w:spacing w:before="60"/>
              <w:jc w:val="right"/>
              <w:textAlignment w:val="auto"/>
              <w:rPr>
                <w:color w:val="000000"/>
              </w:rPr>
            </w:pPr>
            <w:r w:rsidRPr="005E41EB">
              <w:rPr>
                <w:color w:val="000000"/>
              </w:rPr>
              <w:t>14%</w:t>
            </w:r>
          </w:p>
        </w:tc>
        <w:tc>
          <w:tcPr>
            <w:tcW w:w="0" w:type="auto"/>
            <w:tcBorders>
              <w:top w:val="nil"/>
              <w:left w:val="nil"/>
              <w:bottom w:val="nil"/>
              <w:right w:val="nil"/>
            </w:tcBorders>
            <w:shd w:val="clear" w:color="auto" w:fill="auto"/>
            <w:noWrap/>
            <w:vAlign w:val="bottom"/>
            <w:hideMark/>
          </w:tcPr>
          <w:p w:rsidR="005E41EB" w:rsidRPr="005E41EB" w:rsidRDefault="005E41EB" w:rsidP="005E41EB">
            <w:pPr>
              <w:overflowPunct/>
              <w:autoSpaceDE/>
              <w:autoSpaceDN/>
              <w:adjustRightInd/>
              <w:spacing w:before="60"/>
              <w:jc w:val="right"/>
              <w:textAlignment w:val="auto"/>
              <w:rPr>
                <w:color w:val="000000"/>
              </w:rPr>
            </w:pPr>
            <w:r w:rsidRPr="005E41EB">
              <w:rPr>
                <w:color w:val="000000"/>
              </w:rPr>
              <w:t>0%</w:t>
            </w:r>
          </w:p>
        </w:tc>
        <w:tc>
          <w:tcPr>
            <w:tcW w:w="0" w:type="auto"/>
            <w:tcBorders>
              <w:top w:val="nil"/>
              <w:left w:val="nil"/>
              <w:bottom w:val="nil"/>
              <w:right w:val="nil"/>
            </w:tcBorders>
            <w:shd w:val="clear" w:color="auto" w:fill="auto"/>
            <w:noWrap/>
            <w:vAlign w:val="bottom"/>
            <w:hideMark/>
          </w:tcPr>
          <w:p w:rsidR="005E41EB" w:rsidRPr="005E41EB" w:rsidRDefault="005E41EB" w:rsidP="005E41EB">
            <w:pPr>
              <w:overflowPunct/>
              <w:autoSpaceDE/>
              <w:autoSpaceDN/>
              <w:adjustRightInd/>
              <w:spacing w:before="60"/>
              <w:jc w:val="right"/>
              <w:textAlignment w:val="auto"/>
              <w:rPr>
                <w:color w:val="000000"/>
              </w:rPr>
            </w:pPr>
            <w:r w:rsidRPr="005E41EB">
              <w:rPr>
                <w:color w:val="000000"/>
              </w:rPr>
              <w:t>1%</w:t>
            </w:r>
          </w:p>
        </w:tc>
        <w:tc>
          <w:tcPr>
            <w:tcW w:w="0" w:type="auto"/>
            <w:tcBorders>
              <w:top w:val="nil"/>
              <w:left w:val="nil"/>
              <w:bottom w:val="nil"/>
              <w:right w:val="nil"/>
            </w:tcBorders>
            <w:shd w:val="clear" w:color="auto" w:fill="auto"/>
            <w:noWrap/>
            <w:vAlign w:val="bottom"/>
            <w:hideMark/>
          </w:tcPr>
          <w:p w:rsidR="005E41EB" w:rsidRPr="005E41EB" w:rsidRDefault="005E41EB" w:rsidP="005E41EB">
            <w:pPr>
              <w:overflowPunct/>
              <w:autoSpaceDE/>
              <w:autoSpaceDN/>
              <w:adjustRightInd/>
              <w:spacing w:before="60"/>
              <w:jc w:val="right"/>
              <w:textAlignment w:val="auto"/>
              <w:rPr>
                <w:color w:val="000000"/>
              </w:rPr>
            </w:pPr>
            <w:r w:rsidRPr="005E41EB">
              <w:rPr>
                <w:color w:val="000000"/>
              </w:rPr>
              <w:t>3%</w:t>
            </w:r>
          </w:p>
        </w:tc>
        <w:tc>
          <w:tcPr>
            <w:tcW w:w="0" w:type="auto"/>
            <w:tcBorders>
              <w:top w:val="nil"/>
              <w:left w:val="nil"/>
              <w:bottom w:val="nil"/>
              <w:right w:val="nil"/>
            </w:tcBorders>
            <w:shd w:val="clear" w:color="auto" w:fill="auto"/>
            <w:noWrap/>
            <w:vAlign w:val="bottom"/>
            <w:hideMark/>
          </w:tcPr>
          <w:p w:rsidR="005E41EB" w:rsidRPr="005E41EB" w:rsidRDefault="005E41EB" w:rsidP="005E41EB">
            <w:pPr>
              <w:overflowPunct/>
              <w:autoSpaceDE/>
              <w:autoSpaceDN/>
              <w:adjustRightInd/>
              <w:textAlignment w:val="auto"/>
              <w:rPr>
                <w:color w:val="000000"/>
              </w:rPr>
            </w:pPr>
          </w:p>
        </w:tc>
        <w:tc>
          <w:tcPr>
            <w:tcW w:w="0" w:type="auto"/>
            <w:tcBorders>
              <w:top w:val="nil"/>
              <w:left w:val="nil"/>
              <w:bottom w:val="nil"/>
              <w:right w:val="nil"/>
            </w:tcBorders>
            <w:shd w:val="clear" w:color="auto" w:fill="auto"/>
            <w:noWrap/>
            <w:vAlign w:val="bottom"/>
            <w:hideMark/>
          </w:tcPr>
          <w:p w:rsidR="005E41EB" w:rsidRPr="005E41EB" w:rsidRDefault="005E41EB" w:rsidP="005E41EB">
            <w:pPr>
              <w:overflowPunct/>
              <w:autoSpaceDE/>
              <w:autoSpaceDN/>
              <w:adjustRightInd/>
              <w:textAlignment w:val="auto"/>
              <w:rPr>
                <w:color w:val="000000"/>
              </w:rPr>
            </w:pPr>
          </w:p>
        </w:tc>
        <w:tc>
          <w:tcPr>
            <w:tcW w:w="0" w:type="auto"/>
            <w:tcBorders>
              <w:top w:val="nil"/>
              <w:left w:val="nil"/>
              <w:bottom w:val="nil"/>
              <w:right w:val="nil"/>
            </w:tcBorders>
            <w:shd w:val="clear" w:color="auto" w:fill="auto"/>
            <w:noWrap/>
            <w:vAlign w:val="bottom"/>
            <w:hideMark/>
          </w:tcPr>
          <w:p w:rsidR="005E41EB" w:rsidRPr="005E41EB" w:rsidRDefault="005E41EB" w:rsidP="005E41EB">
            <w:pPr>
              <w:overflowPunct/>
              <w:autoSpaceDE/>
              <w:autoSpaceDN/>
              <w:adjustRightInd/>
              <w:textAlignment w:val="auto"/>
              <w:rPr>
                <w:color w:val="000000"/>
              </w:rPr>
            </w:pPr>
          </w:p>
        </w:tc>
      </w:tr>
      <w:tr w:rsidR="005E41EB" w:rsidRPr="00581AEA" w:rsidTr="00F044F4">
        <w:trPr>
          <w:trHeight w:val="20"/>
        </w:trPr>
        <w:tc>
          <w:tcPr>
            <w:tcW w:w="1939" w:type="dxa"/>
            <w:tcBorders>
              <w:top w:val="nil"/>
              <w:left w:val="nil"/>
              <w:right w:val="nil"/>
            </w:tcBorders>
            <w:shd w:val="clear" w:color="auto" w:fill="auto"/>
            <w:noWrap/>
            <w:vAlign w:val="bottom"/>
            <w:hideMark/>
          </w:tcPr>
          <w:p w:rsidR="005E41EB" w:rsidRPr="005E41EB" w:rsidRDefault="005E41EB" w:rsidP="005E41EB">
            <w:pPr>
              <w:overflowPunct/>
              <w:autoSpaceDE/>
              <w:autoSpaceDN/>
              <w:adjustRightInd/>
              <w:textAlignment w:val="auto"/>
              <w:rPr>
                <w:color w:val="000000"/>
              </w:rPr>
            </w:pPr>
            <w:r w:rsidRPr="005E41EB">
              <w:rPr>
                <w:color w:val="000000"/>
              </w:rPr>
              <w:t>Capital Gains</w:t>
            </w:r>
          </w:p>
        </w:tc>
        <w:tc>
          <w:tcPr>
            <w:tcW w:w="0" w:type="auto"/>
            <w:tcBorders>
              <w:top w:val="nil"/>
              <w:left w:val="nil"/>
              <w:right w:val="nil"/>
            </w:tcBorders>
            <w:shd w:val="clear" w:color="auto" w:fill="auto"/>
            <w:noWrap/>
            <w:vAlign w:val="bottom"/>
            <w:hideMark/>
          </w:tcPr>
          <w:p w:rsidR="005E41EB" w:rsidRPr="005E41EB" w:rsidRDefault="005E41EB" w:rsidP="005E41EB">
            <w:pPr>
              <w:overflowPunct/>
              <w:autoSpaceDE/>
              <w:autoSpaceDN/>
              <w:adjustRightInd/>
              <w:jc w:val="right"/>
              <w:textAlignment w:val="auto"/>
              <w:rPr>
                <w:color w:val="000000"/>
              </w:rPr>
            </w:pPr>
            <w:r w:rsidRPr="005E41EB">
              <w:rPr>
                <w:color w:val="000000"/>
              </w:rPr>
              <w:t>23%</w:t>
            </w:r>
          </w:p>
        </w:tc>
        <w:tc>
          <w:tcPr>
            <w:tcW w:w="0" w:type="auto"/>
            <w:tcBorders>
              <w:top w:val="nil"/>
              <w:left w:val="nil"/>
              <w:right w:val="nil"/>
            </w:tcBorders>
            <w:shd w:val="clear" w:color="auto" w:fill="auto"/>
            <w:noWrap/>
            <w:vAlign w:val="bottom"/>
            <w:hideMark/>
          </w:tcPr>
          <w:p w:rsidR="005E41EB" w:rsidRPr="005E41EB" w:rsidRDefault="005E41EB" w:rsidP="005E41EB">
            <w:pPr>
              <w:overflowPunct/>
              <w:autoSpaceDE/>
              <w:autoSpaceDN/>
              <w:adjustRightInd/>
              <w:jc w:val="right"/>
              <w:textAlignment w:val="auto"/>
              <w:rPr>
                <w:color w:val="000000"/>
              </w:rPr>
            </w:pPr>
            <w:r w:rsidRPr="005E41EB">
              <w:rPr>
                <w:color w:val="000000"/>
              </w:rPr>
              <w:t>40%</w:t>
            </w:r>
          </w:p>
        </w:tc>
        <w:tc>
          <w:tcPr>
            <w:tcW w:w="0" w:type="auto"/>
            <w:tcBorders>
              <w:top w:val="nil"/>
              <w:left w:val="nil"/>
              <w:right w:val="nil"/>
            </w:tcBorders>
            <w:shd w:val="clear" w:color="auto" w:fill="auto"/>
            <w:noWrap/>
            <w:vAlign w:val="bottom"/>
            <w:hideMark/>
          </w:tcPr>
          <w:p w:rsidR="005E41EB" w:rsidRPr="005E41EB" w:rsidRDefault="005E41EB" w:rsidP="005E41EB">
            <w:pPr>
              <w:overflowPunct/>
              <w:autoSpaceDE/>
              <w:autoSpaceDN/>
              <w:adjustRightInd/>
              <w:jc w:val="right"/>
              <w:textAlignment w:val="auto"/>
              <w:rPr>
                <w:color w:val="000000"/>
              </w:rPr>
            </w:pPr>
            <w:r w:rsidRPr="005E41EB">
              <w:rPr>
                <w:color w:val="000000"/>
              </w:rPr>
              <w:t>47%</w:t>
            </w:r>
          </w:p>
        </w:tc>
        <w:tc>
          <w:tcPr>
            <w:tcW w:w="0" w:type="auto"/>
            <w:tcBorders>
              <w:top w:val="nil"/>
              <w:left w:val="nil"/>
              <w:right w:val="nil"/>
            </w:tcBorders>
            <w:shd w:val="clear" w:color="auto" w:fill="auto"/>
            <w:noWrap/>
            <w:vAlign w:val="bottom"/>
            <w:hideMark/>
          </w:tcPr>
          <w:p w:rsidR="005E41EB" w:rsidRPr="005E41EB" w:rsidRDefault="005E41EB" w:rsidP="005E41EB">
            <w:pPr>
              <w:overflowPunct/>
              <w:autoSpaceDE/>
              <w:autoSpaceDN/>
              <w:adjustRightInd/>
              <w:jc w:val="right"/>
              <w:textAlignment w:val="auto"/>
              <w:rPr>
                <w:color w:val="000000"/>
              </w:rPr>
            </w:pPr>
            <w:r w:rsidRPr="005E41EB">
              <w:rPr>
                <w:color w:val="000000"/>
              </w:rPr>
              <w:t>4%</w:t>
            </w:r>
          </w:p>
        </w:tc>
        <w:tc>
          <w:tcPr>
            <w:tcW w:w="0" w:type="auto"/>
            <w:tcBorders>
              <w:top w:val="nil"/>
              <w:left w:val="nil"/>
              <w:right w:val="nil"/>
            </w:tcBorders>
            <w:shd w:val="clear" w:color="auto" w:fill="auto"/>
            <w:noWrap/>
            <w:vAlign w:val="bottom"/>
            <w:hideMark/>
          </w:tcPr>
          <w:p w:rsidR="005E41EB" w:rsidRPr="005E41EB" w:rsidRDefault="005E41EB" w:rsidP="005E41EB">
            <w:pPr>
              <w:overflowPunct/>
              <w:autoSpaceDE/>
              <w:autoSpaceDN/>
              <w:adjustRightInd/>
              <w:jc w:val="right"/>
              <w:textAlignment w:val="auto"/>
              <w:rPr>
                <w:color w:val="000000"/>
              </w:rPr>
            </w:pPr>
            <w:r w:rsidRPr="005E41EB">
              <w:rPr>
                <w:color w:val="000000"/>
              </w:rPr>
              <w:t>5%</w:t>
            </w:r>
          </w:p>
        </w:tc>
        <w:tc>
          <w:tcPr>
            <w:tcW w:w="0" w:type="auto"/>
            <w:tcBorders>
              <w:top w:val="nil"/>
              <w:left w:val="nil"/>
              <w:right w:val="nil"/>
            </w:tcBorders>
            <w:shd w:val="clear" w:color="auto" w:fill="auto"/>
            <w:noWrap/>
            <w:vAlign w:val="bottom"/>
            <w:hideMark/>
          </w:tcPr>
          <w:p w:rsidR="005E41EB" w:rsidRPr="005E41EB" w:rsidRDefault="005E41EB" w:rsidP="005E41EB">
            <w:pPr>
              <w:overflowPunct/>
              <w:autoSpaceDE/>
              <w:autoSpaceDN/>
              <w:adjustRightInd/>
              <w:jc w:val="right"/>
              <w:textAlignment w:val="auto"/>
              <w:rPr>
                <w:color w:val="000000"/>
              </w:rPr>
            </w:pPr>
            <w:r w:rsidRPr="005E41EB">
              <w:rPr>
                <w:color w:val="000000"/>
              </w:rPr>
              <w:t>5%</w:t>
            </w:r>
          </w:p>
        </w:tc>
        <w:tc>
          <w:tcPr>
            <w:tcW w:w="0" w:type="auto"/>
            <w:tcBorders>
              <w:top w:val="nil"/>
              <w:left w:val="nil"/>
              <w:right w:val="nil"/>
            </w:tcBorders>
            <w:shd w:val="clear" w:color="auto" w:fill="auto"/>
            <w:noWrap/>
            <w:vAlign w:val="bottom"/>
            <w:hideMark/>
          </w:tcPr>
          <w:p w:rsidR="005E41EB" w:rsidRPr="005E41EB" w:rsidRDefault="005E41EB" w:rsidP="005E41EB">
            <w:pPr>
              <w:overflowPunct/>
              <w:autoSpaceDE/>
              <w:autoSpaceDN/>
              <w:adjustRightInd/>
              <w:jc w:val="right"/>
              <w:textAlignment w:val="auto"/>
              <w:rPr>
                <w:color w:val="000000"/>
              </w:rPr>
            </w:pPr>
            <w:r w:rsidRPr="005E41EB">
              <w:rPr>
                <w:color w:val="000000"/>
              </w:rPr>
              <w:t>84%</w:t>
            </w:r>
          </w:p>
        </w:tc>
        <w:tc>
          <w:tcPr>
            <w:tcW w:w="0" w:type="auto"/>
            <w:tcBorders>
              <w:top w:val="nil"/>
              <w:left w:val="nil"/>
              <w:right w:val="nil"/>
            </w:tcBorders>
            <w:shd w:val="clear" w:color="auto" w:fill="auto"/>
            <w:noWrap/>
            <w:vAlign w:val="bottom"/>
            <w:hideMark/>
          </w:tcPr>
          <w:p w:rsidR="005E41EB" w:rsidRPr="005E41EB" w:rsidRDefault="005E41EB" w:rsidP="005E41EB">
            <w:pPr>
              <w:overflowPunct/>
              <w:autoSpaceDE/>
              <w:autoSpaceDN/>
              <w:adjustRightInd/>
              <w:jc w:val="right"/>
              <w:textAlignment w:val="auto"/>
              <w:rPr>
                <w:color w:val="000000"/>
              </w:rPr>
            </w:pPr>
            <w:r w:rsidRPr="005E41EB">
              <w:rPr>
                <w:color w:val="000000"/>
              </w:rPr>
              <w:t>77%</w:t>
            </w:r>
          </w:p>
        </w:tc>
        <w:tc>
          <w:tcPr>
            <w:tcW w:w="0" w:type="auto"/>
            <w:tcBorders>
              <w:top w:val="nil"/>
              <w:left w:val="nil"/>
              <w:right w:val="nil"/>
            </w:tcBorders>
            <w:shd w:val="clear" w:color="auto" w:fill="auto"/>
            <w:noWrap/>
            <w:vAlign w:val="bottom"/>
            <w:hideMark/>
          </w:tcPr>
          <w:p w:rsidR="005E41EB" w:rsidRPr="005E41EB" w:rsidRDefault="005E41EB" w:rsidP="005E41EB">
            <w:pPr>
              <w:overflowPunct/>
              <w:autoSpaceDE/>
              <w:autoSpaceDN/>
              <w:adjustRightInd/>
              <w:jc w:val="right"/>
              <w:textAlignment w:val="auto"/>
              <w:rPr>
                <w:color w:val="000000"/>
              </w:rPr>
            </w:pPr>
            <w:r w:rsidRPr="005E41EB">
              <w:rPr>
                <w:color w:val="000000"/>
              </w:rPr>
              <w:t>75%</w:t>
            </w:r>
          </w:p>
        </w:tc>
        <w:tc>
          <w:tcPr>
            <w:tcW w:w="0" w:type="auto"/>
            <w:tcBorders>
              <w:top w:val="nil"/>
              <w:left w:val="nil"/>
              <w:bottom w:val="nil"/>
              <w:right w:val="nil"/>
            </w:tcBorders>
            <w:shd w:val="clear" w:color="auto" w:fill="auto"/>
            <w:noWrap/>
            <w:vAlign w:val="bottom"/>
            <w:hideMark/>
          </w:tcPr>
          <w:p w:rsidR="005E41EB" w:rsidRPr="00581AEA" w:rsidRDefault="005E41EB" w:rsidP="005E41EB">
            <w:pPr>
              <w:overflowPunct/>
              <w:autoSpaceDE/>
              <w:autoSpaceDN/>
              <w:adjustRightInd/>
              <w:textAlignment w:val="auto"/>
              <w:rPr>
                <w:i/>
                <w:color w:val="000000"/>
              </w:rPr>
            </w:pPr>
          </w:p>
        </w:tc>
        <w:tc>
          <w:tcPr>
            <w:tcW w:w="0" w:type="auto"/>
            <w:tcBorders>
              <w:top w:val="nil"/>
              <w:left w:val="nil"/>
              <w:bottom w:val="nil"/>
              <w:right w:val="nil"/>
            </w:tcBorders>
            <w:shd w:val="clear" w:color="auto" w:fill="auto"/>
            <w:noWrap/>
            <w:vAlign w:val="bottom"/>
            <w:hideMark/>
          </w:tcPr>
          <w:p w:rsidR="005E41EB" w:rsidRPr="00581AEA" w:rsidRDefault="005E41EB" w:rsidP="005E41EB">
            <w:pPr>
              <w:overflowPunct/>
              <w:autoSpaceDE/>
              <w:autoSpaceDN/>
              <w:adjustRightInd/>
              <w:textAlignment w:val="auto"/>
              <w:rPr>
                <w:i/>
                <w:color w:val="000000"/>
              </w:rPr>
            </w:pPr>
          </w:p>
        </w:tc>
        <w:tc>
          <w:tcPr>
            <w:tcW w:w="0" w:type="auto"/>
            <w:tcBorders>
              <w:top w:val="nil"/>
              <w:left w:val="nil"/>
              <w:bottom w:val="nil"/>
              <w:right w:val="nil"/>
            </w:tcBorders>
            <w:shd w:val="clear" w:color="auto" w:fill="auto"/>
            <w:noWrap/>
            <w:vAlign w:val="bottom"/>
            <w:hideMark/>
          </w:tcPr>
          <w:p w:rsidR="005E41EB" w:rsidRPr="00581AEA" w:rsidRDefault="005E41EB" w:rsidP="005E41EB">
            <w:pPr>
              <w:overflowPunct/>
              <w:autoSpaceDE/>
              <w:autoSpaceDN/>
              <w:adjustRightInd/>
              <w:textAlignment w:val="auto"/>
              <w:rPr>
                <w:i/>
                <w:color w:val="000000"/>
              </w:rPr>
            </w:pPr>
          </w:p>
        </w:tc>
      </w:tr>
      <w:tr w:rsidR="005E41EB" w:rsidRPr="00581AEA" w:rsidTr="00F044F4">
        <w:trPr>
          <w:trHeight w:val="20"/>
        </w:trPr>
        <w:tc>
          <w:tcPr>
            <w:tcW w:w="1939" w:type="dxa"/>
            <w:tcBorders>
              <w:top w:val="nil"/>
              <w:left w:val="nil"/>
              <w:bottom w:val="single" w:sz="12" w:space="0" w:color="auto"/>
              <w:right w:val="nil"/>
            </w:tcBorders>
            <w:shd w:val="clear" w:color="auto" w:fill="auto"/>
            <w:noWrap/>
            <w:vAlign w:val="bottom"/>
            <w:hideMark/>
          </w:tcPr>
          <w:p w:rsidR="005E41EB" w:rsidRPr="005E41EB" w:rsidRDefault="001F61F1" w:rsidP="005E41EB">
            <w:pPr>
              <w:overflowPunct/>
              <w:autoSpaceDE/>
              <w:autoSpaceDN/>
              <w:adjustRightInd/>
              <w:spacing w:after="60"/>
              <w:textAlignment w:val="auto"/>
              <w:rPr>
                <w:color w:val="000000"/>
              </w:rPr>
            </w:pPr>
            <w:r>
              <w:rPr>
                <w:color w:val="000000"/>
              </w:rPr>
              <w:t xml:space="preserve">CRE </w:t>
            </w:r>
            <w:r w:rsidR="005E41EB" w:rsidRPr="005E41EB">
              <w:rPr>
                <w:color w:val="000000"/>
              </w:rPr>
              <w:t>Lending Index</w:t>
            </w:r>
          </w:p>
        </w:tc>
        <w:tc>
          <w:tcPr>
            <w:tcW w:w="0" w:type="auto"/>
            <w:tcBorders>
              <w:top w:val="nil"/>
              <w:left w:val="nil"/>
              <w:bottom w:val="single" w:sz="12" w:space="0" w:color="auto"/>
              <w:right w:val="nil"/>
            </w:tcBorders>
            <w:shd w:val="clear" w:color="auto" w:fill="auto"/>
            <w:noWrap/>
            <w:vAlign w:val="bottom"/>
            <w:hideMark/>
          </w:tcPr>
          <w:p w:rsidR="005E41EB" w:rsidRPr="005E41EB" w:rsidRDefault="005E41EB" w:rsidP="005E41EB">
            <w:pPr>
              <w:overflowPunct/>
              <w:autoSpaceDE/>
              <w:autoSpaceDN/>
              <w:adjustRightInd/>
              <w:spacing w:after="60"/>
              <w:jc w:val="right"/>
              <w:textAlignment w:val="auto"/>
              <w:rPr>
                <w:color w:val="000000"/>
              </w:rPr>
            </w:pPr>
            <w:r w:rsidRPr="005E41EB">
              <w:rPr>
                <w:color w:val="000000"/>
              </w:rPr>
              <w:t>3%</w:t>
            </w:r>
          </w:p>
        </w:tc>
        <w:tc>
          <w:tcPr>
            <w:tcW w:w="0" w:type="auto"/>
            <w:tcBorders>
              <w:top w:val="nil"/>
              <w:left w:val="nil"/>
              <w:bottom w:val="single" w:sz="12" w:space="0" w:color="auto"/>
              <w:right w:val="nil"/>
            </w:tcBorders>
            <w:shd w:val="clear" w:color="auto" w:fill="auto"/>
            <w:noWrap/>
            <w:vAlign w:val="bottom"/>
            <w:hideMark/>
          </w:tcPr>
          <w:p w:rsidR="005E41EB" w:rsidRPr="005E41EB" w:rsidRDefault="005E41EB" w:rsidP="005E41EB">
            <w:pPr>
              <w:overflowPunct/>
              <w:autoSpaceDE/>
              <w:autoSpaceDN/>
              <w:adjustRightInd/>
              <w:spacing w:after="60"/>
              <w:jc w:val="right"/>
              <w:textAlignment w:val="auto"/>
              <w:rPr>
                <w:color w:val="000000"/>
              </w:rPr>
            </w:pPr>
            <w:r w:rsidRPr="005E41EB">
              <w:rPr>
                <w:color w:val="000000"/>
              </w:rPr>
              <w:t>12%</w:t>
            </w:r>
          </w:p>
        </w:tc>
        <w:tc>
          <w:tcPr>
            <w:tcW w:w="0" w:type="auto"/>
            <w:tcBorders>
              <w:top w:val="nil"/>
              <w:left w:val="nil"/>
              <w:bottom w:val="single" w:sz="12" w:space="0" w:color="auto"/>
              <w:right w:val="nil"/>
            </w:tcBorders>
            <w:shd w:val="clear" w:color="auto" w:fill="auto"/>
            <w:noWrap/>
            <w:vAlign w:val="bottom"/>
            <w:hideMark/>
          </w:tcPr>
          <w:p w:rsidR="005E41EB" w:rsidRPr="005E41EB" w:rsidRDefault="005E41EB" w:rsidP="005E41EB">
            <w:pPr>
              <w:overflowPunct/>
              <w:autoSpaceDE/>
              <w:autoSpaceDN/>
              <w:adjustRightInd/>
              <w:spacing w:after="60"/>
              <w:jc w:val="right"/>
              <w:textAlignment w:val="auto"/>
              <w:rPr>
                <w:color w:val="000000"/>
              </w:rPr>
            </w:pPr>
            <w:r w:rsidRPr="005E41EB">
              <w:rPr>
                <w:color w:val="000000"/>
              </w:rPr>
              <w:t>18%</w:t>
            </w:r>
          </w:p>
        </w:tc>
        <w:tc>
          <w:tcPr>
            <w:tcW w:w="0" w:type="auto"/>
            <w:tcBorders>
              <w:top w:val="nil"/>
              <w:left w:val="nil"/>
              <w:bottom w:val="single" w:sz="12" w:space="0" w:color="auto"/>
              <w:right w:val="nil"/>
            </w:tcBorders>
            <w:shd w:val="clear" w:color="auto" w:fill="auto"/>
            <w:noWrap/>
            <w:vAlign w:val="bottom"/>
            <w:hideMark/>
          </w:tcPr>
          <w:p w:rsidR="005E41EB" w:rsidRPr="005E41EB" w:rsidRDefault="005E41EB" w:rsidP="005E41EB">
            <w:pPr>
              <w:overflowPunct/>
              <w:autoSpaceDE/>
              <w:autoSpaceDN/>
              <w:adjustRightInd/>
              <w:spacing w:after="60"/>
              <w:jc w:val="right"/>
              <w:textAlignment w:val="auto"/>
              <w:rPr>
                <w:color w:val="000000"/>
              </w:rPr>
            </w:pPr>
            <w:r w:rsidRPr="005E41EB">
              <w:rPr>
                <w:color w:val="000000"/>
              </w:rPr>
              <w:t>89%</w:t>
            </w:r>
          </w:p>
        </w:tc>
        <w:tc>
          <w:tcPr>
            <w:tcW w:w="0" w:type="auto"/>
            <w:tcBorders>
              <w:top w:val="nil"/>
              <w:left w:val="nil"/>
              <w:bottom w:val="single" w:sz="12" w:space="0" w:color="auto"/>
              <w:right w:val="nil"/>
            </w:tcBorders>
            <w:shd w:val="clear" w:color="auto" w:fill="auto"/>
            <w:noWrap/>
            <w:vAlign w:val="bottom"/>
            <w:hideMark/>
          </w:tcPr>
          <w:p w:rsidR="005E41EB" w:rsidRPr="005E41EB" w:rsidRDefault="005E41EB" w:rsidP="005E41EB">
            <w:pPr>
              <w:overflowPunct/>
              <w:autoSpaceDE/>
              <w:autoSpaceDN/>
              <w:adjustRightInd/>
              <w:spacing w:after="60"/>
              <w:jc w:val="right"/>
              <w:textAlignment w:val="auto"/>
              <w:rPr>
                <w:color w:val="000000"/>
              </w:rPr>
            </w:pPr>
            <w:r w:rsidRPr="005E41EB">
              <w:rPr>
                <w:color w:val="000000"/>
              </w:rPr>
              <w:t>85%</w:t>
            </w:r>
          </w:p>
        </w:tc>
        <w:tc>
          <w:tcPr>
            <w:tcW w:w="0" w:type="auto"/>
            <w:tcBorders>
              <w:top w:val="nil"/>
              <w:left w:val="nil"/>
              <w:bottom w:val="single" w:sz="12" w:space="0" w:color="auto"/>
              <w:right w:val="nil"/>
            </w:tcBorders>
            <w:shd w:val="clear" w:color="auto" w:fill="auto"/>
            <w:noWrap/>
            <w:vAlign w:val="bottom"/>
            <w:hideMark/>
          </w:tcPr>
          <w:p w:rsidR="005E41EB" w:rsidRPr="005E41EB" w:rsidRDefault="005E41EB" w:rsidP="005E41EB">
            <w:pPr>
              <w:overflowPunct/>
              <w:autoSpaceDE/>
              <w:autoSpaceDN/>
              <w:adjustRightInd/>
              <w:spacing w:after="60"/>
              <w:jc w:val="right"/>
              <w:textAlignment w:val="auto"/>
              <w:rPr>
                <w:color w:val="000000"/>
              </w:rPr>
            </w:pPr>
            <w:r w:rsidRPr="005E41EB">
              <w:rPr>
                <w:color w:val="000000"/>
              </w:rPr>
              <w:t>81%</w:t>
            </w:r>
          </w:p>
        </w:tc>
        <w:tc>
          <w:tcPr>
            <w:tcW w:w="0" w:type="auto"/>
            <w:tcBorders>
              <w:top w:val="nil"/>
              <w:left w:val="nil"/>
              <w:bottom w:val="single" w:sz="12" w:space="0" w:color="auto"/>
              <w:right w:val="nil"/>
            </w:tcBorders>
            <w:shd w:val="clear" w:color="auto" w:fill="auto"/>
            <w:noWrap/>
            <w:vAlign w:val="bottom"/>
            <w:hideMark/>
          </w:tcPr>
          <w:p w:rsidR="005E41EB" w:rsidRPr="005E41EB" w:rsidRDefault="005E41EB" w:rsidP="005E41EB">
            <w:pPr>
              <w:overflowPunct/>
              <w:autoSpaceDE/>
              <w:autoSpaceDN/>
              <w:adjustRightInd/>
              <w:spacing w:after="60"/>
              <w:jc w:val="right"/>
              <w:textAlignment w:val="auto"/>
              <w:rPr>
                <w:color w:val="000000"/>
              </w:rPr>
            </w:pPr>
            <w:r w:rsidRPr="005E41EB">
              <w:rPr>
                <w:color w:val="000000"/>
              </w:rPr>
              <w:t>15%</w:t>
            </w:r>
          </w:p>
        </w:tc>
        <w:tc>
          <w:tcPr>
            <w:tcW w:w="0" w:type="auto"/>
            <w:tcBorders>
              <w:top w:val="nil"/>
              <w:left w:val="nil"/>
              <w:bottom w:val="single" w:sz="12" w:space="0" w:color="auto"/>
              <w:right w:val="nil"/>
            </w:tcBorders>
            <w:shd w:val="clear" w:color="auto" w:fill="auto"/>
            <w:noWrap/>
            <w:vAlign w:val="bottom"/>
            <w:hideMark/>
          </w:tcPr>
          <w:p w:rsidR="005E41EB" w:rsidRPr="005E41EB" w:rsidRDefault="005E41EB" w:rsidP="005E41EB">
            <w:pPr>
              <w:overflowPunct/>
              <w:autoSpaceDE/>
              <w:autoSpaceDN/>
              <w:adjustRightInd/>
              <w:spacing w:after="60"/>
              <w:jc w:val="right"/>
              <w:textAlignment w:val="auto"/>
              <w:rPr>
                <w:color w:val="000000"/>
              </w:rPr>
            </w:pPr>
            <w:r w:rsidRPr="005E41EB">
              <w:rPr>
                <w:color w:val="000000"/>
              </w:rPr>
              <w:t>22%</w:t>
            </w:r>
          </w:p>
        </w:tc>
        <w:tc>
          <w:tcPr>
            <w:tcW w:w="0" w:type="auto"/>
            <w:tcBorders>
              <w:top w:val="nil"/>
              <w:left w:val="nil"/>
              <w:bottom w:val="single" w:sz="12" w:space="0" w:color="auto"/>
              <w:right w:val="nil"/>
            </w:tcBorders>
            <w:shd w:val="clear" w:color="auto" w:fill="auto"/>
            <w:noWrap/>
            <w:vAlign w:val="bottom"/>
            <w:hideMark/>
          </w:tcPr>
          <w:p w:rsidR="005E41EB" w:rsidRPr="005E41EB" w:rsidRDefault="005E41EB" w:rsidP="005E41EB">
            <w:pPr>
              <w:overflowPunct/>
              <w:autoSpaceDE/>
              <w:autoSpaceDN/>
              <w:adjustRightInd/>
              <w:spacing w:after="60"/>
              <w:jc w:val="right"/>
              <w:textAlignment w:val="auto"/>
              <w:rPr>
                <w:color w:val="000000"/>
              </w:rPr>
            </w:pPr>
            <w:r w:rsidRPr="005E41EB">
              <w:rPr>
                <w:color w:val="000000"/>
              </w:rPr>
              <w:t>22%</w:t>
            </w:r>
          </w:p>
        </w:tc>
        <w:tc>
          <w:tcPr>
            <w:tcW w:w="0" w:type="auto"/>
            <w:tcBorders>
              <w:top w:val="nil"/>
              <w:left w:val="nil"/>
              <w:bottom w:val="nil"/>
              <w:right w:val="nil"/>
            </w:tcBorders>
            <w:shd w:val="clear" w:color="auto" w:fill="auto"/>
            <w:noWrap/>
            <w:vAlign w:val="bottom"/>
            <w:hideMark/>
          </w:tcPr>
          <w:p w:rsidR="005E41EB" w:rsidRPr="00581AEA" w:rsidRDefault="005E41EB" w:rsidP="005E41EB">
            <w:pPr>
              <w:overflowPunct/>
              <w:autoSpaceDE/>
              <w:autoSpaceDN/>
              <w:adjustRightInd/>
              <w:textAlignment w:val="auto"/>
              <w:rPr>
                <w:i/>
                <w:color w:val="000000"/>
              </w:rPr>
            </w:pPr>
          </w:p>
        </w:tc>
        <w:tc>
          <w:tcPr>
            <w:tcW w:w="0" w:type="auto"/>
            <w:tcBorders>
              <w:top w:val="nil"/>
              <w:left w:val="nil"/>
              <w:bottom w:val="nil"/>
              <w:right w:val="nil"/>
            </w:tcBorders>
            <w:shd w:val="clear" w:color="auto" w:fill="auto"/>
            <w:noWrap/>
            <w:vAlign w:val="bottom"/>
            <w:hideMark/>
          </w:tcPr>
          <w:p w:rsidR="005E41EB" w:rsidRPr="00581AEA" w:rsidRDefault="005E41EB" w:rsidP="005E41EB">
            <w:pPr>
              <w:overflowPunct/>
              <w:autoSpaceDE/>
              <w:autoSpaceDN/>
              <w:adjustRightInd/>
              <w:textAlignment w:val="auto"/>
              <w:rPr>
                <w:i/>
                <w:color w:val="000000"/>
              </w:rPr>
            </w:pPr>
          </w:p>
        </w:tc>
        <w:tc>
          <w:tcPr>
            <w:tcW w:w="0" w:type="auto"/>
            <w:tcBorders>
              <w:top w:val="nil"/>
              <w:left w:val="nil"/>
              <w:bottom w:val="nil"/>
              <w:right w:val="nil"/>
            </w:tcBorders>
            <w:shd w:val="clear" w:color="auto" w:fill="auto"/>
            <w:noWrap/>
            <w:vAlign w:val="bottom"/>
            <w:hideMark/>
          </w:tcPr>
          <w:p w:rsidR="005E41EB" w:rsidRPr="00581AEA" w:rsidRDefault="005E41EB" w:rsidP="005E41EB">
            <w:pPr>
              <w:overflowPunct/>
              <w:autoSpaceDE/>
              <w:autoSpaceDN/>
              <w:adjustRightInd/>
              <w:textAlignment w:val="auto"/>
              <w:rPr>
                <w:i/>
                <w:color w:val="000000"/>
              </w:rPr>
            </w:pPr>
          </w:p>
        </w:tc>
      </w:tr>
    </w:tbl>
    <w:p w:rsidR="006D3AA2" w:rsidRPr="00F044F4" w:rsidRDefault="00F044F4" w:rsidP="002C3FC9">
      <w:pPr>
        <w:overflowPunct/>
        <w:autoSpaceDE/>
        <w:autoSpaceDN/>
        <w:adjustRightInd/>
        <w:spacing w:before="120" w:line="216" w:lineRule="auto"/>
        <w:ind w:right="-360"/>
        <w:jc w:val="both"/>
        <w:textAlignment w:val="auto"/>
      </w:pPr>
      <w:r w:rsidRPr="001B687A">
        <w:rPr>
          <w:i/>
        </w:rPr>
        <w:t>Notes:</w:t>
      </w:r>
      <w:r w:rsidRPr="001B687A">
        <w:t xml:space="preserve"> </w:t>
      </w:r>
      <w:r w:rsidRPr="002C3FC9">
        <w:t>This table presents results</w:t>
      </w:r>
      <w:r w:rsidR="00147212" w:rsidRPr="002C3FC9">
        <w:t xml:space="preserve"> from the variance decomposition for the percentage of forecast error variance </w:t>
      </w:r>
      <w:r w:rsidR="002C3FC9" w:rsidRPr="002C3FC9">
        <w:t xml:space="preserve">of the predicted variable (in italics) that is explain by past realized values of the row variables. </w:t>
      </w:r>
      <w:r w:rsidR="002C3FC9">
        <w:t xml:space="preserve">Panel A provides results for the VECM model (see Table 3, middle columns). Panel B provides results for the VAR:4 model (see Table 4, Panel A). Panel C provides results for the VAR:3 model (see Table 5, Panel A). In each Panel, variance decompositions are derived from the specification where only endogenous variables are included. The forecast period is quarters, and results are shown for the forecast error variance of 4, 8, and 12 quarters ahead. </w:t>
      </w:r>
      <w:r>
        <w:t xml:space="preserve">All variables are defined in the notes to Table 1, except CRE Lending Index (defined in notes to Table 5). </w:t>
      </w:r>
      <w:r w:rsidR="006D3AA2">
        <w:rPr>
          <w:sz w:val="22"/>
          <w:szCs w:val="22"/>
        </w:rPr>
        <w:br w:type="page"/>
      </w:r>
    </w:p>
    <w:p w:rsidR="006D3AA2" w:rsidRDefault="006D3AA2" w:rsidP="006D3AA2">
      <w:pPr>
        <w:overflowPunct/>
        <w:autoSpaceDE/>
        <w:autoSpaceDN/>
        <w:adjustRightInd/>
        <w:textAlignment w:val="auto"/>
        <w:rPr>
          <w:sz w:val="22"/>
          <w:szCs w:val="22"/>
        </w:rPr>
      </w:pPr>
      <w:r w:rsidRPr="006D3AA2">
        <w:rPr>
          <w:b/>
          <w:sz w:val="22"/>
          <w:szCs w:val="22"/>
        </w:rPr>
        <w:t>Figure 1.</w:t>
      </w:r>
      <w:r>
        <w:rPr>
          <w:sz w:val="22"/>
          <w:szCs w:val="22"/>
        </w:rPr>
        <w:t xml:space="preserve">  NCREIF data series</w:t>
      </w:r>
      <w:r w:rsidR="00A17102">
        <w:rPr>
          <w:sz w:val="22"/>
          <w:szCs w:val="22"/>
        </w:rPr>
        <w:t>, 1978Q1–</w:t>
      </w:r>
      <w:r w:rsidR="00C57868">
        <w:rPr>
          <w:sz w:val="22"/>
          <w:szCs w:val="22"/>
        </w:rPr>
        <w:t>2014Q2</w:t>
      </w:r>
    </w:p>
    <w:p w:rsidR="00BB4F36" w:rsidRDefault="00BB4F36" w:rsidP="006D3AA2">
      <w:pPr>
        <w:overflowPunct/>
        <w:autoSpaceDE/>
        <w:autoSpaceDN/>
        <w:adjustRightInd/>
        <w:textAlignment w:val="auto"/>
        <w:rPr>
          <w:sz w:val="22"/>
          <w:szCs w:val="22"/>
        </w:rPr>
      </w:pPr>
    </w:p>
    <w:p w:rsidR="000769A4" w:rsidRDefault="00BB4F36" w:rsidP="00BB4F36">
      <w:pPr>
        <w:overflowPunct/>
        <w:autoSpaceDE/>
        <w:autoSpaceDN/>
        <w:adjustRightInd/>
        <w:textAlignment w:val="auto"/>
        <w:rPr>
          <w:b/>
          <w:sz w:val="22"/>
          <w:szCs w:val="22"/>
        </w:rPr>
      </w:pPr>
      <w:r>
        <w:rPr>
          <w:noProof/>
        </w:rPr>
        <w:drawing>
          <wp:inline distT="0" distB="0" distL="0" distR="0">
            <wp:extent cx="54864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57868" w:rsidRPr="00BB4F36" w:rsidRDefault="000769A4" w:rsidP="00B21C7C">
      <w:pPr>
        <w:overflowPunct/>
        <w:autoSpaceDE/>
        <w:autoSpaceDN/>
        <w:adjustRightInd/>
        <w:spacing w:before="120" w:line="216" w:lineRule="auto"/>
        <w:ind w:left="270" w:right="270"/>
        <w:jc w:val="both"/>
        <w:textAlignment w:val="auto"/>
        <w:rPr>
          <w:sz w:val="22"/>
          <w:szCs w:val="22"/>
        </w:rPr>
      </w:pPr>
      <w:r w:rsidRPr="00B21C7C">
        <w:rPr>
          <w:i/>
        </w:rPr>
        <w:t>Notes:</w:t>
      </w:r>
      <w:r w:rsidRPr="00B21C7C">
        <w:t xml:space="preserve"> This </w:t>
      </w:r>
      <w:r w:rsidR="00B21C7C">
        <w:t xml:space="preserve">figure plots quarterly values for Income Returns and Capital Gains (left-axis) </w:t>
      </w:r>
      <w:r w:rsidR="00FF5F8C">
        <w:t xml:space="preserve">along with </w:t>
      </w:r>
      <w:r w:rsidR="00B21C7C">
        <w:t xml:space="preserve">Volume (right-axis) over the full time series of available data: 1978Q1-2014Q2. Capital Gains are depicted by the solid black line; Income Returns by the dashed black line. Volume is shown </w:t>
      </w:r>
      <w:r w:rsidR="00F46AC8">
        <w:t xml:space="preserve">in </w:t>
      </w:r>
      <w:r w:rsidR="00B21C7C">
        <w:t xml:space="preserve">black bars along the bottom. All variables are defined in the notes to Table 1. </w:t>
      </w:r>
      <w:r w:rsidR="00C57868">
        <w:rPr>
          <w:b/>
          <w:sz w:val="22"/>
          <w:szCs w:val="22"/>
        </w:rPr>
        <w:br w:type="page"/>
      </w:r>
    </w:p>
    <w:p w:rsidR="00CB682F" w:rsidRDefault="00CB682F" w:rsidP="00CB682F">
      <w:pPr>
        <w:overflowPunct/>
        <w:autoSpaceDE/>
        <w:autoSpaceDN/>
        <w:adjustRightInd/>
        <w:textAlignment w:val="auto"/>
        <w:rPr>
          <w:sz w:val="22"/>
          <w:szCs w:val="22"/>
        </w:rPr>
      </w:pPr>
      <w:r w:rsidRPr="006D3AA2">
        <w:rPr>
          <w:b/>
          <w:sz w:val="22"/>
          <w:szCs w:val="22"/>
        </w:rPr>
        <w:t xml:space="preserve">Figure </w:t>
      </w:r>
      <w:r>
        <w:rPr>
          <w:b/>
          <w:sz w:val="22"/>
          <w:szCs w:val="22"/>
        </w:rPr>
        <w:t>2</w:t>
      </w:r>
      <w:r w:rsidRPr="006D3AA2">
        <w:rPr>
          <w:b/>
          <w:sz w:val="22"/>
          <w:szCs w:val="22"/>
        </w:rPr>
        <w:t>.</w:t>
      </w:r>
      <w:r>
        <w:rPr>
          <w:sz w:val="22"/>
          <w:szCs w:val="22"/>
        </w:rPr>
        <w:t xml:space="preserve">  </w:t>
      </w:r>
      <w:r w:rsidR="00973B25">
        <w:rPr>
          <w:sz w:val="22"/>
          <w:szCs w:val="22"/>
        </w:rPr>
        <w:t>CRE</w:t>
      </w:r>
      <w:r w:rsidR="00B537C1">
        <w:rPr>
          <w:sz w:val="22"/>
          <w:szCs w:val="22"/>
        </w:rPr>
        <w:t xml:space="preserve"> Tightening vs. Capital Gains</w:t>
      </w:r>
      <w:r w:rsidR="00AB74D3">
        <w:rPr>
          <w:sz w:val="22"/>
          <w:szCs w:val="22"/>
        </w:rPr>
        <w:t xml:space="preserve"> </w:t>
      </w:r>
      <w:r w:rsidR="00FE7DAE">
        <w:rPr>
          <w:sz w:val="22"/>
          <w:szCs w:val="22"/>
        </w:rPr>
        <w:t>[inverted]</w:t>
      </w:r>
    </w:p>
    <w:p w:rsidR="00B537C1" w:rsidRDefault="00B537C1" w:rsidP="00CB682F">
      <w:pPr>
        <w:overflowPunct/>
        <w:autoSpaceDE/>
        <w:autoSpaceDN/>
        <w:adjustRightInd/>
        <w:textAlignment w:val="auto"/>
        <w:rPr>
          <w:sz w:val="22"/>
          <w:szCs w:val="22"/>
        </w:rPr>
      </w:pPr>
    </w:p>
    <w:p w:rsidR="00B21C7C" w:rsidRDefault="00697C48" w:rsidP="00B21C7C">
      <w:pPr>
        <w:overflowPunct/>
        <w:autoSpaceDE/>
        <w:autoSpaceDN/>
        <w:adjustRightInd/>
        <w:spacing w:line="216" w:lineRule="auto"/>
        <w:ind w:right="270"/>
        <w:jc w:val="both"/>
        <w:textAlignment w:val="auto"/>
        <w:rPr>
          <w:sz w:val="22"/>
          <w:szCs w:val="22"/>
        </w:rPr>
      </w:pPr>
      <w:r>
        <w:rPr>
          <w:noProof/>
        </w:rPr>
        <w:drawing>
          <wp:inline distT="0" distB="0" distL="0" distR="0">
            <wp:extent cx="5486400" cy="2743200"/>
            <wp:effectExtent l="0" t="0" r="0" b="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537C1" w:rsidRDefault="00B21C7C" w:rsidP="00B21C7C">
      <w:pPr>
        <w:overflowPunct/>
        <w:autoSpaceDE/>
        <w:autoSpaceDN/>
        <w:adjustRightInd/>
        <w:spacing w:line="216" w:lineRule="auto"/>
        <w:ind w:left="270" w:right="270"/>
        <w:jc w:val="both"/>
        <w:textAlignment w:val="auto"/>
        <w:rPr>
          <w:sz w:val="22"/>
          <w:szCs w:val="22"/>
        </w:rPr>
      </w:pPr>
      <w:r w:rsidRPr="00B21C7C">
        <w:rPr>
          <w:i/>
        </w:rPr>
        <w:t>Notes:</w:t>
      </w:r>
      <w:r w:rsidRPr="00B21C7C">
        <w:t xml:space="preserve"> This </w:t>
      </w:r>
      <w:r>
        <w:t>figure plots quarterly values for CRE Tightening (left-axis) and inverted Capital Gains (right-axis) over the sample period considered in this study: 1990Q3</w:t>
      </w:r>
      <w:r w:rsidR="00084762">
        <w:t>–</w:t>
      </w:r>
      <w:r>
        <w:t>2014Q2. CRE Tightening is depicted by the solid red line; Capital Gains [inve</w:t>
      </w:r>
      <w:r w:rsidR="00727473">
        <w:t>rted] by the solid black line. Both v</w:t>
      </w:r>
      <w:r>
        <w:t>ariables are defined in the notes to Table 1.</w:t>
      </w:r>
    </w:p>
    <w:p w:rsidR="009C60C3" w:rsidRDefault="009C60C3" w:rsidP="000769A4">
      <w:pPr>
        <w:overflowPunct/>
        <w:autoSpaceDE/>
        <w:autoSpaceDN/>
        <w:adjustRightInd/>
        <w:spacing w:before="120" w:line="216" w:lineRule="auto"/>
        <w:ind w:right="2970"/>
        <w:jc w:val="both"/>
        <w:textAlignment w:val="auto"/>
        <w:rPr>
          <w:noProof/>
        </w:rPr>
      </w:pPr>
    </w:p>
    <w:p w:rsidR="004740B8" w:rsidRDefault="004740B8">
      <w:pPr>
        <w:overflowPunct/>
        <w:autoSpaceDE/>
        <w:autoSpaceDN/>
        <w:adjustRightInd/>
        <w:spacing w:after="200" w:line="276" w:lineRule="auto"/>
        <w:textAlignment w:val="auto"/>
        <w:rPr>
          <w:b/>
          <w:sz w:val="22"/>
          <w:szCs w:val="22"/>
        </w:rPr>
      </w:pPr>
      <w:r>
        <w:rPr>
          <w:b/>
          <w:sz w:val="22"/>
          <w:szCs w:val="22"/>
        </w:rPr>
        <w:br w:type="page"/>
      </w:r>
    </w:p>
    <w:p w:rsidR="009C60C3" w:rsidRDefault="009C60C3" w:rsidP="009C60C3">
      <w:pPr>
        <w:overflowPunct/>
        <w:autoSpaceDE/>
        <w:autoSpaceDN/>
        <w:adjustRightInd/>
        <w:textAlignment w:val="auto"/>
        <w:rPr>
          <w:sz w:val="22"/>
          <w:szCs w:val="22"/>
        </w:rPr>
      </w:pPr>
      <w:r w:rsidRPr="006D3AA2">
        <w:rPr>
          <w:b/>
          <w:sz w:val="22"/>
          <w:szCs w:val="22"/>
        </w:rPr>
        <w:t xml:space="preserve">Figure </w:t>
      </w:r>
      <w:r>
        <w:rPr>
          <w:b/>
          <w:sz w:val="22"/>
          <w:szCs w:val="22"/>
        </w:rPr>
        <w:t>3</w:t>
      </w:r>
      <w:r w:rsidRPr="006D3AA2">
        <w:rPr>
          <w:b/>
          <w:sz w:val="22"/>
          <w:szCs w:val="22"/>
        </w:rPr>
        <w:t>.</w:t>
      </w:r>
      <w:r>
        <w:rPr>
          <w:sz w:val="22"/>
          <w:szCs w:val="22"/>
        </w:rPr>
        <w:t xml:space="preserve">  </w:t>
      </w:r>
      <w:r w:rsidR="004740B8">
        <w:rPr>
          <w:sz w:val="22"/>
          <w:szCs w:val="22"/>
        </w:rPr>
        <w:t>Interest Rates, Cap Rates</w:t>
      </w:r>
      <w:r w:rsidR="00084762">
        <w:rPr>
          <w:sz w:val="22"/>
          <w:szCs w:val="22"/>
        </w:rPr>
        <w:t>,</w:t>
      </w:r>
      <w:r w:rsidR="004740B8">
        <w:rPr>
          <w:sz w:val="22"/>
          <w:szCs w:val="22"/>
        </w:rPr>
        <w:t xml:space="preserve"> </w:t>
      </w:r>
      <w:r w:rsidR="00084762">
        <w:rPr>
          <w:sz w:val="22"/>
          <w:szCs w:val="22"/>
        </w:rPr>
        <w:t>and</w:t>
      </w:r>
      <w:r w:rsidR="004740B8">
        <w:rPr>
          <w:sz w:val="22"/>
          <w:szCs w:val="22"/>
        </w:rPr>
        <w:t xml:space="preserve"> CRE Debt </w:t>
      </w:r>
    </w:p>
    <w:p w:rsidR="009C60C3" w:rsidRDefault="009C60C3" w:rsidP="009C60C3">
      <w:pPr>
        <w:overflowPunct/>
        <w:autoSpaceDE/>
        <w:autoSpaceDN/>
        <w:adjustRightInd/>
        <w:jc w:val="center"/>
        <w:textAlignment w:val="auto"/>
        <w:rPr>
          <w:noProof/>
        </w:rPr>
      </w:pPr>
    </w:p>
    <w:p w:rsidR="009C60C3" w:rsidRDefault="00697C48" w:rsidP="009C60C3">
      <w:pPr>
        <w:overflowPunct/>
        <w:autoSpaceDE/>
        <w:autoSpaceDN/>
        <w:adjustRightInd/>
        <w:jc w:val="center"/>
        <w:textAlignment w:val="auto"/>
        <w:rPr>
          <w:sz w:val="22"/>
          <w:szCs w:val="22"/>
        </w:rPr>
      </w:pPr>
      <w:r>
        <w:rPr>
          <w:noProof/>
        </w:rPr>
        <w:drawing>
          <wp:inline distT="0" distB="0" distL="0" distR="0">
            <wp:extent cx="5486400" cy="2743200"/>
            <wp:effectExtent l="0" t="0" r="0" b="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84762" w:rsidRDefault="00084762" w:rsidP="00084762">
      <w:pPr>
        <w:overflowPunct/>
        <w:autoSpaceDE/>
        <w:autoSpaceDN/>
        <w:adjustRightInd/>
        <w:spacing w:line="216" w:lineRule="auto"/>
        <w:ind w:left="270" w:right="270"/>
        <w:jc w:val="both"/>
        <w:textAlignment w:val="auto"/>
        <w:rPr>
          <w:sz w:val="22"/>
          <w:szCs w:val="22"/>
        </w:rPr>
      </w:pPr>
      <w:r w:rsidRPr="00B21C7C">
        <w:rPr>
          <w:i/>
        </w:rPr>
        <w:t>Notes:</w:t>
      </w:r>
      <w:r w:rsidRPr="00B21C7C">
        <w:t xml:space="preserve"> This </w:t>
      </w:r>
      <w:r>
        <w:t>figure plots quarterly values for Baa,</w:t>
      </w:r>
      <w:r w:rsidR="006C616E">
        <w:t xml:space="preserve"> R</w:t>
      </w:r>
      <w:r w:rsidR="006C616E" w:rsidRPr="006C616E">
        <w:rPr>
          <w:vertAlign w:val="subscript"/>
        </w:rPr>
        <w:t>F</w:t>
      </w:r>
      <w:r w:rsidR="006C616E">
        <w:t>, and Cap Rates</w:t>
      </w:r>
      <w:r>
        <w:t xml:space="preserve"> (left-axis)</w:t>
      </w:r>
      <w:r w:rsidR="006C616E">
        <w:t xml:space="preserve">, along with CRE Debt scaled by national GDP </w:t>
      </w:r>
      <w:r>
        <w:t>(right-axis)</w:t>
      </w:r>
      <w:r w:rsidR="006C616E">
        <w:t>,</w:t>
      </w:r>
      <w:r>
        <w:t xml:space="preserve"> </w:t>
      </w:r>
      <w:r w:rsidR="006C616E">
        <w:t xml:space="preserve">for </w:t>
      </w:r>
      <w:r>
        <w:t xml:space="preserve">the sample period considered in this study: 1990Q3–2014Q2. </w:t>
      </w:r>
      <w:r w:rsidR="006C616E">
        <w:t>Baa is depicted by the solid grey line; R</w:t>
      </w:r>
      <w:r w:rsidR="006C616E" w:rsidRPr="006C616E">
        <w:rPr>
          <w:vertAlign w:val="subscript"/>
        </w:rPr>
        <w:t>F</w:t>
      </w:r>
      <w:r w:rsidR="006C616E">
        <w:t xml:space="preserve"> is the solid black line; Cap Rates are the solid brown line. </w:t>
      </w:r>
      <w:r>
        <w:t xml:space="preserve">CRE </w:t>
      </w:r>
      <w:r w:rsidR="006C616E">
        <w:t>Debt (as a % of GDP) is represented in the shaded blue area. All v</w:t>
      </w:r>
      <w:r>
        <w:t>ariables are defined in the notes to Table 1.</w:t>
      </w:r>
    </w:p>
    <w:p w:rsidR="00B537C1" w:rsidRDefault="00B537C1">
      <w:pPr>
        <w:overflowPunct/>
        <w:autoSpaceDE/>
        <w:autoSpaceDN/>
        <w:adjustRightInd/>
        <w:spacing w:after="200" w:line="276" w:lineRule="auto"/>
        <w:textAlignment w:val="auto"/>
        <w:rPr>
          <w:b/>
          <w:sz w:val="22"/>
          <w:szCs w:val="22"/>
        </w:rPr>
      </w:pPr>
      <w:r>
        <w:rPr>
          <w:b/>
          <w:sz w:val="22"/>
          <w:szCs w:val="22"/>
        </w:rPr>
        <w:br w:type="page"/>
      </w:r>
    </w:p>
    <w:p w:rsidR="00B537C1" w:rsidRDefault="00B537C1" w:rsidP="00B537C1">
      <w:pPr>
        <w:overflowPunct/>
        <w:autoSpaceDE/>
        <w:autoSpaceDN/>
        <w:adjustRightInd/>
        <w:textAlignment w:val="auto"/>
        <w:rPr>
          <w:sz w:val="22"/>
          <w:szCs w:val="22"/>
        </w:rPr>
      </w:pPr>
      <w:r w:rsidRPr="006D3AA2">
        <w:rPr>
          <w:b/>
          <w:sz w:val="22"/>
          <w:szCs w:val="22"/>
        </w:rPr>
        <w:t xml:space="preserve">Figure </w:t>
      </w:r>
      <w:r w:rsidR="004740B8">
        <w:rPr>
          <w:b/>
          <w:sz w:val="22"/>
          <w:szCs w:val="22"/>
        </w:rPr>
        <w:t>4</w:t>
      </w:r>
      <w:r w:rsidRPr="006D3AA2">
        <w:rPr>
          <w:b/>
          <w:sz w:val="22"/>
          <w:szCs w:val="22"/>
        </w:rPr>
        <w:t>.</w:t>
      </w:r>
      <w:r w:rsidR="00F044F4">
        <w:rPr>
          <w:sz w:val="22"/>
          <w:szCs w:val="22"/>
        </w:rPr>
        <w:t xml:space="preserve">  Impulse r</w:t>
      </w:r>
      <w:r>
        <w:rPr>
          <w:sz w:val="22"/>
          <w:szCs w:val="22"/>
        </w:rPr>
        <w:t>esponse</w:t>
      </w:r>
      <w:r w:rsidR="00AB74D3">
        <w:rPr>
          <w:sz w:val="22"/>
          <w:szCs w:val="22"/>
        </w:rPr>
        <w:t xml:space="preserve"> </w:t>
      </w:r>
      <w:r w:rsidR="00376920">
        <w:rPr>
          <w:sz w:val="22"/>
          <w:szCs w:val="22"/>
        </w:rPr>
        <w:t xml:space="preserve">function </w:t>
      </w:r>
      <w:r w:rsidR="00AB74D3">
        <w:rPr>
          <w:sz w:val="22"/>
          <w:szCs w:val="22"/>
        </w:rPr>
        <w:t>of</w:t>
      </w:r>
      <w:r w:rsidR="00DD688C">
        <w:rPr>
          <w:sz w:val="22"/>
          <w:szCs w:val="22"/>
        </w:rPr>
        <w:t xml:space="preserve"> </w:t>
      </w:r>
      <w:r w:rsidR="00ED183A">
        <w:rPr>
          <w:sz w:val="22"/>
          <w:szCs w:val="22"/>
        </w:rPr>
        <w:t>Capital Gains</w:t>
      </w:r>
    </w:p>
    <w:p w:rsidR="00376920" w:rsidRPr="0099754E" w:rsidRDefault="00376920" w:rsidP="00B537C1">
      <w:pPr>
        <w:overflowPunct/>
        <w:autoSpaceDE/>
        <w:autoSpaceDN/>
        <w:adjustRightInd/>
        <w:textAlignment w:val="auto"/>
        <w:rPr>
          <w:sz w:val="18"/>
          <w:szCs w:val="18"/>
        </w:rPr>
      </w:pPr>
    </w:p>
    <w:p w:rsidR="00AB3472" w:rsidRDefault="00AB3472" w:rsidP="00B537C1">
      <w:pPr>
        <w:overflowPunct/>
        <w:autoSpaceDE/>
        <w:autoSpaceDN/>
        <w:adjustRightInd/>
        <w:textAlignment w:val="auto"/>
        <w:rPr>
          <w:sz w:val="22"/>
          <w:szCs w:val="22"/>
        </w:rPr>
      </w:pPr>
      <w:r>
        <w:rPr>
          <w:noProof/>
        </w:rPr>
        <w:drawing>
          <wp:inline distT="0" distB="0" distL="0" distR="0">
            <wp:extent cx="4572000" cy="2377440"/>
            <wp:effectExtent l="0" t="0" r="0" b="381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noProof/>
        </w:rPr>
        <w:drawing>
          <wp:inline distT="0" distB="0" distL="0" distR="0">
            <wp:extent cx="4572000" cy="2377440"/>
            <wp:effectExtent l="0" t="0" r="0" b="381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AB3472">
        <w:rPr>
          <w:noProof/>
        </w:rPr>
        <w:t xml:space="preserve"> </w:t>
      </w:r>
      <w:r>
        <w:rPr>
          <w:noProof/>
        </w:rPr>
        <w:drawing>
          <wp:inline distT="0" distB="0" distL="0" distR="0">
            <wp:extent cx="4572000" cy="2377440"/>
            <wp:effectExtent l="0" t="0" r="0" b="381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769A4" w:rsidRDefault="005062E9" w:rsidP="004D68CA">
      <w:pPr>
        <w:overflowPunct/>
        <w:autoSpaceDE/>
        <w:autoSpaceDN/>
        <w:adjustRightInd/>
        <w:spacing w:line="216" w:lineRule="auto"/>
        <w:ind w:left="180" w:right="1620"/>
        <w:jc w:val="both"/>
        <w:textAlignment w:val="auto"/>
        <w:rPr>
          <w:b/>
          <w:sz w:val="22"/>
          <w:szCs w:val="22"/>
        </w:rPr>
      </w:pPr>
      <w:r w:rsidRPr="00B21C7C">
        <w:rPr>
          <w:i/>
        </w:rPr>
        <w:t>Notes:</w:t>
      </w:r>
      <w:r w:rsidR="0099754E">
        <w:t xml:space="preserve"> The</w:t>
      </w:r>
      <w:r w:rsidRPr="00B21C7C">
        <w:t xml:space="preserve"> </w:t>
      </w:r>
      <w:r>
        <w:t xml:space="preserve">impulse response function </w:t>
      </w:r>
      <w:r w:rsidR="0099754E">
        <w:t xml:space="preserve">is plotted </w:t>
      </w:r>
      <w:r>
        <w:t>for Capital Gains responding to a one standard deviation shock in Income Returns (Panel A),</w:t>
      </w:r>
      <w:r w:rsidR="0099754E">
        <w:t xml:space="preserve"> CRE Tightening (Panel B), and Capital Gains (Panel C).</w:t>
      </w:r>
      <w:r>
        <w:t xml:space="preserve"> </w:t>
      </w:r>
      <w:r w:rsidR="0099754E">
        <w:t xml:space="preserve">Response is measured in standard deviations over </w:t>
      </w:r>
      <w:r w:rsidR="00E52194">
        <w:t>12 quarters following the shock</w:t>
      </w:r>
      <w:r w:rsidR="0099754E">
        <w:t xml:space="preserve"> based on the specifications of VECM (green line), VAR:3 (blue line), and VAR:4 (orange line) that include only endogenous variables. Dashed lines represent ± two standard errors of the forecast response.</w:t>
      </w:r>
      <w:r w:rsidR="000769A4">
        <w:rPr>
          <w:b/>
          <w:sz w:val="22"/>
          <w:szCs w:val="22"/>
        </w:rPr>
        <w:br w:type="page"/>
      </w:r>
    </w:p>
    <w:p w:rsidR="000D4BF4" w:rsidRDefault="000D4BF4" w:rsidP="000D4BF4">
      <w:pPr>
        <w:overflowPunct/>
        <w:autoSpaceDE/>
        <w:autoSpaceDN/>
        <w:adjustRightInd/>
        <w:textAlignment w:val="auto"/>
        <w:rPr>
          <w:sz w:val="22"/>
          <w:szCs w:val="22"/>
        </w:rPr>
      </w:pPr>
      <w:r>
        <w:rPr>
          <w:b/>
          <w:sz w:val="22"/>
          <w:szCs w:val="22"/>
        </w:rPr>
        <w:t xml:space="preserve">Appendix Table A1.  </w:t>
      </w:r>
      <w:r w:rsidR="00EC4C1C">
        <w:rPr>
          <w:sz w:val="22"/>
          <w:szCs w:val="22"/>
        </w:rPr>
        <w:t>Alternat</w:t>
      </w:r>
      <w:r>
        <w:rPr>
          <w:sz w:val="22"/>
          <w:szCs w:val="22"/>
        </w:rPr>
        <w:t>e specifications</w:t>
      </w:r>
      <w:r w:rsidR="00666F68">
        <w:rPr>
          <w:sz w:val="22"/>
          <w:szCs w:val="22"/>
        </w:rPr>
        <w:t>, VAR:4</w:t>
      </w:r>
      <w:r w:rsidR="00EC4C1C">
        <w:rPr>
          <w:sz w:val="22"/>
          <w:szCs w:val="22"/>
        </w:rPr>
        <w:t xml:space="preserve"> models</w:t>
      </w:r>
    </w:p>
    <w:p w:rsidR="000D4BF4" w:rsidRDefault="000D4BF4" w:rsidP="000D4BF4">
      <w:pPr>
        <w:overflowPunct/>
        <w:autoSpaceDE/>
        <w:autoSpaceDN/>
        <w:adjustRightInd/>
        <w:textAlignment w:val="auto"/>
        <w:rPr>
          <w:color w:val="0070C0"/>
          <w:sz w:val="22"/>
          <w:szCs w:val="22"/>
        </w:rPr>
      </w:pPr>
    </w:p>
    <w:tbl>
      <w:tblPr>
        <w:tblW w:w="0" w:type="auto"/>
        <w:tblInd w:w="93" w:type="dxa"/>
        <w:tblLook w:val="04A0"/>
      </w:tblPr>
      <w:tblGrid>
        <w:gridCol w:w="2027"/>
        <w:gridCol w:w="686"/>
        <w:gridCol w:w="583"/>
        <w:gridCol w:w="750"/>
        <w:gridCol w:w="635"/>
        <w:gridCol w:w="583"/>
        <w:gridCol w:w="750"/>
        <w:gridCol w:w="623"/>
        <w:gridCol w:w="583"/>
        <w:gridCol w:w="750"/>
      </w:tblGrid>
      <w:tr w:rsidR="000D4BF4" w:rsidRPr="0048014D" w:rsidTr="00F044F4">
        <w:trPr>
          <w:trHeight w:val="20"/>
        </w:trPr>
        <w:tc>
          <w:tcPr>
            <w:tcW w:w="0" w:type="auto"/>
            <w:gridSpan w:val="4"/>
            <w:tcBorders>
              <w:top w:val="single" w:sz="12" w:space="0" w:color="auto"/>
              <w:left w:val="nil"/>
              <w:bottom w:val="nil"/>
              <w:right w:val="nil"/>
            </w:tcBorders>
            <w:shd w:val="clear" w:color="auto" w:fill="auto"/>
            <w:noWrap/>
            <w:vAlign w:val="center"/>
            <w:hideMark/>
          </w:tcPr>
          <w:p w:rsidR="000D4BF4" w:rsidRPr="0048014D" w:rsidRDefault="000D4BF4" w:rsidP="00666F68">
            <w:pPr>
              <w:overflowPunct/>
              <w:autoSpaceDE/>
              <w:autoSpaceDN/>
              <w:adjustRightInd/>
              <w:spacing w:before="80"/>
              <w:textAlignment w:val="auto"/>
              <w:rPr>
                <w:b/>
                <w:bCs/>
                <w:color w:val="000000"/>
              </w:rPr>
            </w:pPr>
            <w:r w:rsidRPr="0048014D">
              <w:rPr>
                <w:b/>
                <w:bCs/>
                <w:color w:val="000000"/>
              </w:rPr>
              <w:t xml:space="preserve">Panel A.  </w:t>
            </w:r>
            <w:r w:rsidRPr="0048014D">
              <w:rPr>
                <w:color w:val="000000"/>
              </w:rPr>
              <w:t xml:space="preserve">Four endogenous </w:t>
            </w:r>
            <w:r w:rsidR="00BE78A5">
              <w:rPr>
                <w:color w:val="000000"/>
              </w:rPr>
              <w:t>only</w:t>
            </w:r>
          </w:p>
        </w:tc>
        <w:tc>
          <w:tcPr>
            <w:tcW w:w="0" w:type="auto"/>
            <w:gridSpan w:val="3"/>
            <w:tcBorders>
              <w:top w:val="single" w:sz="12" w:space="0" w:color="auto"/>
              <w:left w:val="nil"/>
              <w:bottom w:val="nil"/>
              <w:right w:val="nil"/>
            </w:tcBorders>
            <w:shd w:val="clear" w:color="auto" w:fill="auto"/>
            <w:noWrap/>
            <w:vAlign w:val="center"/>
            <w:hideMark/>
          </w:tcPr>
          <w:p w:rsidR="000D4BF4" w:rsidRPr="0048014D" w:rsidRDefault="000D4BF4" w:rsidP="00F044F4">
            <w:pPr>
              <w:overflowPunct/>
              <w:autoSpaceDE/>
              <w:autoSpaceDN/>
              <w:adjustRightInd/>
              <w:textAlignment w:val="auto"/>
              <w:rPr>
                <w:b/>
                <w:bCs/>
                <w:color w:val="000000"/>
              </w:rPr>
            </w:pPr>
            <w:r w:rsidRPr="0048014D">
              <w:rPr>
                <w:b/>
                <w:bCs/>
                <w:color w:val="000000"/>
              </w:rPr>
              <w:t> </w:t>
            </w:r>
          </w:p>
        </w:tc>
        <w:tc>
          <w:tcPr>
            <w:tcW w:w="0" w:type="auto"/>
            <w:gridSpan w:val="3"/>
            <w:tcBorders>
              <w:top w:val="single" w:sz="12" w:space="0" w:color="auto"/>
              <w:left w:val="nil"/>
              <w:bottom w:val="nil"/>
              <w:right w:val="nil"/>
            </w:tcBorders>
            <w:shd w:val="clear" w:color="auto" w:fill="auto"/>
            <w:noWrap/>
            <w:vAlign w:val="center"/>
            <w:hideMark/>
          </w:tcPr>
          <w:p w:rsidR="000D4BF4" w:rsidRPr="0048014D" w:rsidRDefault="000D4BF4" w:rsidP="00F044F4">
            <w:pPr>
              <w:overflowPunct/>
              <w:autoSpaceDE/>
              <w:autoSpaceDN/>
              <w:adjustRightInd/>
              <w:textAlignment w:val="auto"/>
              <w:rPr>
                <w:b/>
                <w:bCs/>
                <w:color w:val="000000"/>
              </w:rPr>
            </w:pPr>
            <w:r w:rsidRPr="0048014D">
              <w:rPr>
                <w:b/>
                <w:bCs/>
                <w:color w:val="000000"/>
              </w:rPr>
              <w:t> </w:t>
            </w:r>
          </w:p>
        </w:tc>
      </w:tr>
      <w:tr w:rsidR="00666F68" w:rsidRPr="0048014D" w:rsidTr="00F044F4">
        <w:trPr>
          <w:trHeight w:val="20"/>
        </w:trPr>
        <w:tc>
          <w:tcPr>
            <w:tcW w:w="0" w:type="auto"/>
            <w:tcBorders>
              <w:top w:val="nil"/>
              <w:left w:val="nil"/>
              <w:bottom w:val="nil"/>
              <w:right w:val="nil"/>
            </w:tcBorders>
            <w:shd w:val="clear" w:color="auto" w:fill="auto"/>
            <w:noWrap/>
            <w:vAlign w:val="center"/>
          </w:tcPr>
          <w:p w:rsidR="00666F68" w:rsidRPr="0048014D" w:rsidRDefault="00666F68" w:rsidP="00666F68">
            <w:pPr>
              <w:overflowPunct/>
              <w:autoSpaceDE/>
              <w:autoSpaceDN/>
              <w:adjustRightInd/>
              <w:spacing w:before="20" w:after="20"/>
              <w:jc w:val="right"/>
              <w:textAlignment w:val="auto"/>
              <w:rPr>
                <w:color w:val="000000"/>
              </w:rPr>
            </w:pPr>
            <w:r>
              <w:rPr>
                <w:color w:val="000000"/>
              </w:rPr>
              <w:t>Alternate:</w:t>
            </w:r>
          </w:p>
        </w:tc>
        <w:tc>
          <w:tcPr>
            <w:tcW w:w="0" w:type="auto"/>
            <w:gridSpan w:val="3"/>
            <w:tcBorders>
              <w:top w:val="nil"/>
              <w:left w:val="nil"/>
              <w:bottom w:val="nil"/>
              <w:right w:val="nil"/>
            </w:tcBorders>
            <w:shd w:val="clear" w:color="auto" w:fill="auto"/>
            <w:noWrap/>
            <w:vAlign w:val="center"/>
          </w:tcPr>
          <w:p w:rsidR="00666F68" w:rsidRPr="00666F68" w:rsidRDefault="00666F68" w:rsidP="00666F68">
            <w:pPr>
              <w:overflowPunct/>
              <w:autoSpaceDE/>
              <w:autoSpaceDN/>
              <w:adjustRightInd/>
              <w:spacing w:before="20" w:after="20"/>
              <w:jc w:val="center"/>
              <w:textAlignment w:val="auto"/>
              <w:rPr>
                <w:b/>
                <w:iCs/>
                <w:color w:val="000000"/>
              </w:rPr>
            </w:pPr>
            <w:r w:rsidRPr="00666F68">
              <w:rPr>
                <w:b/>
                <w:iCs/>
                <w:color w:val="000000"/>
              </w:rPr>
              <w:t>I</w:t>
            </w:r>
          </w:p>
        </w:tc>
        <w:tc>
          <w:tcPr>
            <w:tcW w:w="0" w:type="auto"/>
            <w:gridSpan w:val="3"/>
            <w:tcBorders>
              <w:top w:val="nil"/>
              <w:left w:val="nil"/>
              <w:bottom w:val="nil"/>
              <w:right w:val="nil"/>
            </w:tcBorders>
            <w:shd w:val="clear" w:color="auto" w:fill="auto"/>
            <w:noWrap/>
            <w:vAlign w:val="center"/>
          </w:tcPr>
          <w:p w:rsidR="00666F68" w:rsidRPr="00666F68" w:rsidRDefault="00666F68" w:rsidP="00666F68">
            <w:pPr>
              <w:overflowPunct/>
              <w:autoSpaceDE/>
              <w:autoSpaceDN/>
              <w:adjustRightInd/>
              <w:spacing w:before="20" w:after="20"/>
              <w:jc w:val="center"/>
              <w:textAlignment w:val="auto"/>
              <w:rPr>
                <w:b/>
                <w:iCs/>
                <w:color w:val="000000"/>
              </w:rPr>
            </w:pPr>
            <w:r w:rsidRPr="00666F68">
              <w:rPr>
                <w:b/>
                <w:iCs/>
                <w:color w:val="000000"/>
              </w:rPr>
              <w:t>II</w:t>
            </w:r>
          </w:p>
        </w:tc>
        <w:tc>
          <w:tcPr>
            <w:tcW w:w="0" w:type="auto"/>
            <w:gridSpan w:val="3"/>
            <w:tcBorders>
              <w:top w:val="nil"/>
              <w:left w:val="nil"/>
              <w:bottom w:val="nil"/>
              <w:right w:val="nil"/>
            </w:tcBorders>
            <w:shd w:val="clear" w:color="auto" w:fill="auto"/>
            <w:noWrap/>
            <w:vAlign w:val="center"/>
          </w:tcPr>
          <w:p w:rsidR="00666F68" w:rsidRPr="00666F68" w:rsidRDefault="00666F68" w:rsidP="00666F68">
            <w:pPr>
              <w:overflowPunct/>
              <w:autoSpaceDE/>
              <w:autoSpaceDN/>
              <w:adjustRightInd/>
              <w:spacing w:before="20" w:after="20"/>
              <w:jc w:val="center"/>
              <w:textAlignment w:val="auto"/>
              <w:rPr>
                <w:b/>
                <w:iCs/>
                <w:color w:val="000000"/>
              </w:rPr>
            </w:pPr>
            <w:r w:rsidRPr="00666F68">
              <w:rPr>
                <w:b/>
                <w:iCs/>
                <w:color w:val="000000"/>
              </w:rPr>
              <w:t>III</w:t>
            </w:r>
          </w:p>
        </w:tc>
      </w:tr>
      <w:tr w:rsidR="000D4BF4" w:rsidRPr="0048014D" w:rsidTr="00F044F4">
        <w:trPr>
          <w:trHeight w:val="20"/>
        </w:trPr>
        <w:tc>
          <w:tcPr>
            <w:tcW w:w="0" w:type="auto"/>
            <w:tcBorders>
              <w:top w:val="nil"/>
              <w:left w:val="nil"/>
              <w:bottom w:val="nil"/>
              <w:right w:val="nil"/>
            </w:tcBorders>
            <w:shd w:val="clear" w:color="auto" w:fill="auto"/>
            <w:noWrap/>
            <w:vAlign w:val="center"/>
            <w:hideMark/>
          </w:tcPr>
          <w:p w:rsidR="000D4BF4" w:rsidRPr="0048014D" w:rsidRDefault="000D4BF4" w:rsidP="00F044F4">
            <w:pPr>
              <w:overflowPunct/>
              <w:autoSpaceDE/>
              <w:autoSpaceDN/>
              <w:adjustRightInd/>
              <w:jc w:val="right"/>
              <w:textAlignment w:val="auto"/>
              <w:rPr>
                <w:color w:val="000000"/>
              </w:rPr>
            </w:pPr>
            <w:r w:rsidRPr="0048014D">
              <w:rPr>
                <w:color w:val="000000"/>
              </w:rPr>
              <w:t>Model:</w:t>
            </w:r>
          </w:p>
        </w:tc>
        <w:tc>
          <w:tcPr>
            <w:tcW w:w="0" w:type="auto"/>
            <w:gridSpan w:val="3"/>
            <w:tcBorders>
              <w:top w:val="nil"/>
              <w:left w:val="nil"/>
              <w:bottom w:val="nil"/>
              <w:right w:val="nil"/>
            </w:tcBorders>
            <w:shd w:val="clear" w:color="auto" w:fill="auto"/>
            <w:noWrap/>
            <w:vAlign w:val="center"/>
            <w:hideMark/>
          </w:tcPr>
          <w:p w:rsidR="000D4BF4" w:rsidRPr="0048014D" w:rsidRDefault="000D4BF4" w:rsidP="00F044F4">
            <w:pPr>
              <w:overflowPunct/>
              <w:autoSpaceDE/>
              <w:autoSpaceDN/>
              <w:adjustRightInd/>
              <w:jc w:val="center"/>
              <w:textAlignment w:val="auto"/>
              <w:rPr>
                <w:i/>
                <w:iCs/>
                <w:color w:val="000000"/>
              </w:rPr>
            </w:pPr>
            <w:r w:rsidRPr="0048014D">
              <w:rPr>
                <w:i/>
                <w:iCs/>
                <w:color w:val="000000"/>
              </w:rPr>
              <w:t>Capital Gains</w:t>
            </w:r>
          </w:p>
        </w:tc>
        <w:tc>
          <w:tcPr>
            <w:tcW w:w="0" w:type="auto"/>
            <w:gridSpan w:val="3"/>
            <w:tcBorders>
              <w:top w:val="nil"/>
              <w:left w:val="nil"/>
              <w:bottom w:val="nil"/>
              <w:right w:val="nil"/>
            </w:tcBorders>
            <w:shd w:val="clear" w:color="auto" w:fill="auto"/>
            <w:noWrap/>
            <w:vAlign w:val="center"/>
            <w:hideMark/>
          </w:tcPr>
          <w:p w:rsidR="000D4BF4" w:rsidRPr="0048014D" w:rsidRDefault="000D4BF4" w:rsidP="00F044F4">
            <w:pPr>
              <w:overflowPunct/>
              <w:autoSpaceDE/>
              <w:autoSpaceDN/>
              <w:adjustRightInd/>
              <w:jc w:val="center"/>
              <w:textAlignment w:val="auto"/>
              <w:rPr>
                <w:i/>
                <w:iCs/>
                <w:color w:val="000000"/>
              </w:rPr>
            </w:pPr>
            <w:r w:rsidRPr="0048014D">
              <w:rPr>
                <w:i/>
                <w:iCs/>
                <w:color w:val="000000"/>
              </w:rPr>
              <w:t>Capital Gains</w:t>
            </w:r>
          </w:p>
        </w:tc>
        <w:tc>
          <w:tcPr>
            <w:tcW w:w="0" w:type="auto"/>
            <w:gridSpan w:val="3"/>
            <w:tcBorders>
              <w:top w:val="nil"/>
              <w:left w:val="nil"/>
              <w:bottom w:val="nil"/>
              <w:right w:val="nil"/>
            </w:tcBorders>
            <w:shd w:val="clear" w:color="auto" w:fill="auto"/>
            <w:noWrap/>
            <w:vAlign w:val="center"/>
            <w:hideMark/>
          </w:tcPr>
          <w:p w:rsidR="000D4BF4" w:rsidRPr="0048014D" w:rsidRDefault="000D4BF4" w:rsidP="00F044F4">
            <w:pPr>
              <w:overflowPunct/>
              <w:autoSpaceDE/>
              <w:autoSpaceDN/>
              <w:adjustRightInd/>
              <w:jc w:val="center"/>
              <w:textAlignment w:val="auto"/>
              <w:rPr>
                <w:i/>
                <w:iCs/>
                <w:color w:val="000000"/>
              </w:rPr>
            </w:pPr>
            <w:r w:rsidRPr="0048014D">
              <w:rPr>
                <w:i/>
                <w:iCs/>
                <w:color w:val="000000"/>
              </w:rPr>
              <w:t>Capital Gains</w:t>
            </w:r>
          </w:p>
        </w:tc>
      </w:tr>
      <w:tr w:rsidR="000D4BF4" w:rsidRPr="0048014D" w:rsidTr="00F044F4">
        <w:trPr>
          <w:trHeight w:val="20"/>
        </w:trPr>
        <w:tc>
          <w:tcPr>
            <w:tcW w:w="0" w:type="auto"/>
            <w:tcBorders>
              <w:top w:val="nil"/>
              <w:left w:val="nil"/>
              <w:bottom w:val="double" w:sz="6" w:space="0" w:color="auto"/>
              <w:right w:val="nil"/>
            </w:tcBorders>
            <w:shd w:val="clear" w:color="auto" w:fill="auto"/>
            <w:noWrap/>
            <w:vAlign w:val="center"/>
            <w:hideMark/>
          </w:tcPr>
          <w:p w:rsidR="000D4BF4" w:rsidRPr="0048014D" w:rsidRDefault="000D4BF4" w:rsidP="00F044F4">
            <w:pPr>
              <w:overflowPunct/>
              <w:autoSpaceDE/>
              <w:autoSpaceDN/>
              <w:adjustRightInd/>
              <w:textAlignment w:val="auto"/>
              <w:rPr>
                <w:color w:val="000000"/>
              </w:rPr>
            </w:pPr>
            <w:r w:rsidRPr="0048014D">
              <w:rPr>
                <w:color w:val="000000"/>
              </w:rPr>
              <w:t>Variable</w:t>
            </w:r>
          </w:p>
        </w:tc>
        <w:tc>
          <w:tcPr>
            <w:tcW w:w="0" w:type="auto"/>
            <w:gridSpan w:val="2"/>
            <w:tcBorders>
              <w:top w:val="nil"/>
              <w:left w:val="nil"/>
              <w:bottom w:val="double" w:sz="6" w:space="0" w:color="auto"/>
              <w:right w:val="nil"/>
            </w:tcBorders>
            <w:shd w:val="clear" w:color="auto" w:fill="auto"/>
            <w:noWrap/>
            <w:vAlign w:val="center"/>
            <w:hideMark/>
          </w:tcPr>
          <w:p w:rsidR="000D4BF4" w:rsidRPr="0048014D" w:rsidRDefault="008F386D" w:rsidP="00F044F4">
            <w:pPr>
              <w:overflowPunct/>
              <w:autoSpaceDE/>
              <w:autoSpaceDN/>
              <w:adjustRightInd/>
              <w:jc w:val="center"/>
              <w:textAlignment w:val="auto"/>
              <w:rPr>
                <w:color w:val="000000"/>
              </w:rPr>
            </w:pPr>
            <w:r w:rsidRPr="0048014D">
              <w:rPr>
                <w:color w:val="000000"/>
              </w:rPr>
              <w:t>Coef</w:t>
            </w:r>
            <w:r>
              <w:rPr>
                <w:color w:val="000000"/>
              </w:rPr>
              <w:t>ficient</w:t>
            </w:r>
          </w:p>
        </w:tc>
        <w:tc>
          <w:tcPr>
            <w:tcW w:w="0" w:type="auto"/>
            <w:tcBorders>
              <w:top w:val="nil"/>
              <w:left w:val="nil"/>
              <w:bottom w:val="double" w:sz="6" w:space="0" w:color="auto"/>
              <w:right w:val="nil"/>
            </w:tcBorders>
            <w:shd w:val="clear" w:color="auto" w:fill="auto"/>
            <w:noWrap/>
            <w:vAlign w:val="center"/>
            <w:hideMark/>
          </w:tcPr>
          <w:p w:rsidR="000D4BF4" w:rsidRPr="0048014D" w:rsidRDefault="008F386D" w:rsidP="008F386D">
            <w:pPr>
              <w:overflowPunct/>
              <w:autoSpaceDE/>
              <w:autoSpaceDN/>
              <w:adjustRightInd/>
              <w:textAlignment w:val="auto"/>
              <w:rPr>
                <w:color w:val="000000"/>
              </w:rPr>
            </w:pPr>
            <w:r>
              <w:rPr>
                <w:color w:val="000000"/>
              </w:rPr>
              <w:t>(</w:t>
            </w:r>
            <w:r w:rsidR="000D4BF4" w:rsidRPr="0048014D">
              <w:rPr>
                <w:color w:val="000000"/>
              </w:rPr>
              <w:t>t-stat</w:t>
            </w:r>
            <w:r>
              <w:rPr>
                <w:color w:val="000000"/>
              </w:rPr>
              <w:t>)</w:t>
            </w:r>
          </w:p>
        </w:tc>
        <w:tc>
          <w:tcPr>
            <w:tcW w:w="0" w:type="auto"/>
            <w:gridSpan w:val="2"/>
            <w:tcBorders>
              <w:top w:val="nil"/>
              <w:left w:val="nil"/>
              <w:bottom w:val="double" w:sz="6" w:space="0" w:color="auto"/>
              <w:right w:val="nil"/>
            </w:tcBorders>
            <w:shd w:val="clear" w:color="auto" w:fill="auto"/>
            <w:noWrap/>
            <w:vAlign w:val="center"/>
            <w:hideMark/>
          </w:tcPr>
          <w:p w:rsidR="000D4BF4" w:rsidRPr="0048014D" w:rsidRDefault="000D4BF4" w:rsidP="00F044F4">
            <w:pPr>
              <w:overflowPunct/>
              <w:autoSpaceDE/>
              <w:autoSpaceDN/>
              <w:adjustRightInd/>
              <w:jc w:val="center"/>
              <w:textAlignment w:val="auto"/>
              <w:rPr>
                <w:color w:val="000000"/>
              </w:rPr>
            </w:pPr>
            <w:r w:rsidRPr="0048014D">
              <w:rPr>
                <w:color w:val="000000"/>
              </w:rPr>
              <w:t>Coef</w:t>
            </w:r>
            <w:r w:rsidR="008F386D">
              <w:rPr>
                <w:color w:val="000000"/>
              </w:rPr>
              <w:t>ficient</w:t>
            </w:r>
          </w:p>
        </w:tc>
        <w:tc>
          <w:tcPr>
            <w:tcW w:w="0" w:type="auto"/>
            <w:tcBorders>
              <w:top w:val="nil"/>
              <w:left w:val="nil"/>
              <w:bottom w:val="double" w:sz="6" w:space="0" w:color="auto"/>
              <w:right w:val="nil"/>
            </w:tcBorders>
            <w:shd w:val="clear" w:color="auto" w:fill="auto"/>
            <w:noWrap/>
            <w:vAlign w:val="center"/>
            <w:hideMark/>
          </w:tcPr>
          <w:p w:rsidR="000D4BF4" w:rsidRPr="0048014D" w:rsidRDefault="008F386D" w:rsidP="008F386D">
            <w:pPr>
              <w:overflowPunct/>
              <w:autoSpaceDE/>
              <w:autoSpaceDN/>
              <w:adjustRightInd/>
              <w:textAlignment w:val="auto"/>
              <w:rPr>
                <w:color w:val="000000"/>
              </w:rPr>
            </w:pPr>
            <w:r>
              <w:rPr>
                <w:color w:val="000000"/>
              </w:rPr>
              <w:t>(</w:t>
            </w:r>
            <w:r w:rsidR="000D4BF4" w:rsidRPr="0048014D">
              <w:rPr>
                <w:color w:val="000000"/>
              </w:rPr>
              <w:t>t-stat</w:t>
            </w:r>
            <w:r>
              <w:rPr>
                <w:color w:val="000000"/>
              </w:rPr>
              <w:t>)</w:t>
            </w:r>
          </w:p>
        </w:tc>
        <w:tc>
          <w:tcPr>
            <w:tcW w:w="0" w:type="auto"/>
            <w:gridSpan w:val="2"/>
            <w:tcBorders>
              <w:top w:val="nil"/>
              <w:left w:val="nil"/>
              <w:bottom w:val="double" w:sz="6" w:space="0" w:color="auto"/>
              <w:right w:val="nil"/>
            </w:tcBorders>
            <w:shd w:val="clear" w:color="auto" w:fill="auto"/>
            <w:noWrap/>
            <w:vAlign w:val="center"/>
            <w:hideMark/>
          </w:tcPr>
          <w:p w:rsidR="000D4BF4" w:rsidRPr="0048014D" w:rsidRDefault="008F386D" w:rsidP="00F044F4">
            <w:pPr>
              <w:overflowPunct/>
              <w:autoSpaceDE/>
              <w:autoSpaceDN/>
              <w:adjustRightInd/>
              <w:jc w:val="center"/>
              <w:textAlignment w:val="auto"/>
              <w:rPr>
                <w:color w:val="000000"/>
              </w:rPr>
            </w:pPr>
            <w:r w:rsidRPr="0048014D">
              <w:rPr>
                <w:color w:val="000000"/>
              </w:rPr>
              <w:t>Coef</w:t>
            </w:r>
            <w:r>
              <w:rPr>
                <w:color w:val="000000"/>
              </w:rPr>
              <w:t>ficient</w:t>
            </w:r>
          </w:p>
        </w:tc>
        <w:tc>
          <w:tcPr>
            <w:tcW w:w="0" w:type="auto"/>
            <w:tcBorders>
              <w:top w:val="nil"/>
              <w:left w:val="nil"/>
              <w:bottom w:val="double" w:sz="6" w:space="0" w:color="auto"/>
              <w:right w:val="nil"/>
            </w:tcBorders>
            <w:shd w:val="clear" w:color="auto" w:fill="auto"/>
            <w:noWrap/>
            <w:vAlign w:val="center"/>
            <w:hideMark/>
          </w:tcPr>
          <w:p w:rsidR="000D4BF4" w:rsidRPr="0048014D" w:rsidRDefault="008F386D" w:rsidP="008F386D">
            <w:pPr>
              <w:overflowPunct/>
              <w:autoSpaceDE/>
              <w:autoSpaceDN/>
              <w:adjustRightInd/>
              <w:textAlignment w:val="auto"/>
              <w:rPr>
                <w:color w:val="000000"/>
              </w:rPr>
            </w:pPr>
            <w:r>
              <w:rPr>
                <w:color w:val="000000"/>
              </w:rPr>
              <w:t>(</w:t>
            </w:r>
            <w:r w:rsidR="000D4BF4" w:rsidRPr="0048014D">
              <w:rPr>
                <w:color w:val="000000"/>
              </w:rPr>
              <w:t>t-stat</w:t>
            </w:r>
            <w:r>
              <w:rPr>
                <w:color w:val="000000"/>
              </w:rPr>
              <w:t>)</w:t>
            </w:r>
          </w:p>
        </w:tc>
      </w:tr>
      <w:tr w:rsidR="000D4BF4" w:rsidRPr="0048014D" w:rsidTr="00F044F4">
        <w:trPr>
          <w:trHeight w:val="20"/>
        </w:trPr>
        <w:tc>
          <w:tcPr>
            <w:tcW w:w="0" w:type="auto"/>
            <w:tcBorders>
              <w:top w:val="nil"/>
              <w:left w:val="nil"/>
              <w:bottom w:val="nil"/>
              <w:right w:val="nil"/>
            </w:tcBorders>
            <w:shd w:val="clear" w:color="auto" w:fill="auto"/>
            <w:noWrap/>
            <w:vAlign w:val="center"/>
            <w:hideMark/>
          </w:tcPr>
          <w:p w:rsidR="000D4BF4" w:rsidRPr="0048014D" w:rsidRDefault="000D4BF4" w:rsidP="00666F68">
            <w:pPr>
              <w:overflowPunct/>
              <w:autoSpaceDE/>
              <w:autoSpaceDN/>
              <w:adjustRightInd/>
              <w:spacing w:before="60"/>
              <w:textAlignment w:val="auto"/>
              <w:rPr>
                <w:color w:val="000000"/>
              </w:rPr>
            </w:pPr>
            <w:r w:rsidRPr="0048014D">
              <w:rPr>
                <w:color w:val="000000"/>
              </w:rPr>
              <w:t>CRE Tightening</w:t>
            </w:r>
            <w:r w:rsidR="00E506FD" w:rsidRPr="00E506FD">
              <w:rPr>
                <w:vertAlign w:val="subscript"/>
              </w:rPr>
              <w:t>t-1</w:t>
            </w:r>
          </w:p>
        </w:tc>
        <w:tc>
          <w:tcPr>
            <w:tcW w:w="0" w:type="auto"/>
            <w:tcBorders>
              <w:top w:val="nil"/>
              <w:left w:val="nil"/>
              <w:bottom w:val="nil"/>
              <w:right w:val="nil"/>
            </w:tcBorders>
            <w:shd w:val="clear" w:color="auto" w:fill="auto"/>
            <w:noWrap/>
            <w:vAlign w:val="center"/>
            <w:hideMark/>
          </w:tcPr>
          <w:p w:rsidR="000D4BF4" w:rsidRPr="0048014D" w:rsidRDefault="000D4BF4" w:rsidP="00666F68">
            <w:pPr>
              <w:overflowPunct/>
              <w:autoSpaceDE/>
              <w:autoSpaceDN/>
              <w:adjustRightInd/>
              <w:spacing w:before="60"/>
              <w:ind w:right="-47"/>
              <w:jc w:val="right"/>
              <w:textAlignment w:val="auto"/>
              <w:rPr>
                <w:color w:val="000000"/>
              </w:rPr>
            </w:pPr>
            <w:r w:rsidRPr="0048014D">
              <w:rPr>
                <w:color w:val="000000"/>
              </w:rPr>
              <w:t>-0.287</w:t>
            </w:r>
          </w:p>
        </w:tc>
        <w:tc>
          <w:tcPr>
            <w:tcW w:w="0" w:type="auto"/>
            <w:tcBorders>
              <w:top w:val="nil"/>
              <w:left w:val="nil"/>
              <w:bottom w:val="nil"/>
              <w:right w:val="nil"/>
            </w:tcBorders>
            <w:shd w:val="clear" w:color="auto" w:fill="auto"/>
            <w:noWrap/>
            <w:vAlign w:val="center"/>
            <w:hideMark/>
          </w:tcPr>
          <w:p w:rsidR="000D4BF4" w:rsidRPr="0048014D" w:rsidRDefault="000D4BF4" w:rsidP="00666F68">
            <w:pPr>
              <w:overflowPunct/>
              <w:autoSpaceDE/>
              <w:autoSpaceDN/>
              <w:adjustRightInd/>
              <w:spacing w:before="60"/>
              <w:ind w:left="-79"/>
              <w:textAlignment w:val="auto"/>
              <w:rPr>
                <w:color w:val="000000"/>
              </w:rPr>
            </w:pPr>
            <w:r w:rsidRPr="0048014D">
              <w:rPr>
                <w:color w:val="000000"/>
                <w:vertAlign w:val="superscript"/>
              </w:rPr>
              <w:t>***</w:t>
            </w:r>
          </w:p>
        </w:tc>
        <w:tc>
          <w:tcPr>
            <w:tcW w:w="0" w:type="auto"/>
            <w:tcBorders>
              <w:top w:val="nil"/>
              <w:left w:val="nil"/>
              <w:bottom w:val="nil"/>
              <w:right w:val="nil"/>
            </w:tcBorders>
            <w:shd w:val="clear" w:color="auto" w:fill="auto"/>
            <w:noWrap/>
            <w:vAlign w:val="center"/>
            <w:hideMark/>
          </w:tcPr>
          <w:p w:rsidR="000D4BF4" w:rsidRPr="0048014D" w:rsidRDefault="008F386D" w:rsidP="00666F68">
            <w:pPr>
              <w:overflowPunct/>
              <w:autoSpaceDE/>
              <w:autoSpaceDN/>
              <w:adjustRightInd/>
              <w:spacing w:before="60"/>
              <w:textAlignment w:val="auto"/>
              <w:rPr>
                <w:color w:val="000000"/>
              </w:rPr>
            </w:pPr>
            <w:r>
              <w:rPr>
                <w:color w:val="000000"/>
              </w:rPr>
              <w:t>(</w:t>
            </w:r>
            <w:r w:rsidR="000D4BF4" w:rsidRPr="0048014D">
              <w:rPr>
                <w:color w:val="000000"/>
              </w:rPr>
              <w:t>6.9</w:t>
            </w:r>
            <w:r>
              <w:rPr>
                <w:color w:val="000000"/>
              </w:rPr>
              <w:t>)</w:t>
            </w:r>
          </w:p>
        </w:tc>
        <w:tc>
          <w:tcPr>
            <w:tcW w:w="0" w:type="auto"/>
            <w:tcBorders>
              <w:top w:val="nil"/>
              <w:left w:val="nil"/>
              <w:bottom w:val="nil"/>
              <w:right w:val="nil"/>
            </w:tcBorders>
            <w:shd w:val="clear" w:color="auto" w:fill="auto"/>
            <w:noWrap/>
            <w:vAlign w:val="center"/>
            <w:hideMark/>
          </w:tcPr>
          <w:p w:rsidR="000D4BF4" w:rsidRPr="0048014D" w:rsidRDefault="000D4BF4" w:rsidP="00666F68">
            <w:pPr>
              <w:overflowPunct/>
              <w:autoSpaceDE/>
              <w:autoSpaceDN/>
              <w:adjustRightInd/>
              <w:spacing w:before="60"/>
              <w:ind w:right="-98"/>
              <w:jc w:val="right"/>
              <w:textAlignment w:val="auto"/>
              <w:rPr>
                <w:color w:val="000000"/>
              </w:rPr>
            </w:pPr>
            <w:r w:rsidRPr="0048014D">
              <w:rPr>
                <w:color w:val="000000"/>
              </w:rPr>
              <w:t>-0.285</w:t>
            </w:r>
          </w:p>
        </w:tc>
        <w:tc>
          <w:tcPr>
            <w:tcW w:w="0" w:type="auto"/>
            <w:tcBorders>
              <w:top w:val="nil"/>
              <w:left w:val="nil"/>
              <w:bottom w:val="nil"/>
              <w:right w:val="nil"/>
            </w:tcBorders>
            <w:shd w:val="clear" w:color="auto" w:fill="auto"/>
            <w:noWrap/>
            <w:vAlign w:val="center"/>
            <w:hideMark/>
          </w:tcPr>
          <w:p w:rsidR="000D4BF4" w:rsidRPr="0048014D" w:rsidRDefault="000D4BF4" w:rsidP="00666F68">
            <w:pPr>
              <w:overflowPunct/>
              <w:autoSpaceDE/>
              <w:autoSpaceDN/>
              <w:adjustRightInd/>
              <w:spacing w:before="60"/>
              <w:ind w:left="-75"/>
              <w:textAlignment w:val="auto"/>
              <w:rPr>
                <w:color w:val="000000"/>
              </w:rPr>
            </w:pPr>
            <w:r w:rsidRPr="0048014D">
              <w:rPr>
                <w:color w:val="000000"/>
                <w:vertAlign w:val="superscript"/>
              </w:rPr>
              <w:t>***</w:t>
            </w:r>
          </w:p>
        </w:tc>
        <w:tc>
          <w:tcPr>
            <w:tcW w:w="0" w:type="auto"/>
            <w:tcBorders>
              <w:top w:val="nil"/>
              <w:left w:val="nil"/>
              <w:bottom w:val="nil"/>
              <w:right w:val="nil"/>
            </w:tcBorders>
            <w:shd w:val="clear" w:color="auto" w:fill="auto"/>
            <w:noWrap/>
            <w:vAlign w:val="center"/>
            <w:hideMark/>
          </w:tcPr>
          <w:p w:rsidR="000D4BF4" w:rsidRPr="0048014D" w:rsidRDefault="008F386D" w:rsidP="00666F68">
            <w:pPr>
              <w:overflowPunct/>
              <w:autoSpaceDE/>
              <w:autoSpaceDN/>
              <w:adjustRightInd/>
              <w:spacing w:before="60"/>
              <w:textAlignment w:val="auto"/>
              <w:rPr>
                <w:color w:val="000000"/>
              </w:rPr>
            </w:pPr>
            <w:r>
              <w:rPr>
                <w:color w:val="000000"/>
              </w:rPr>
              <w:t>(</w:t>
            </w:r>
            <w:r w:rsidR="000D4BF4" w:rsidRPr="0048014D">
              <w:rPr>
                <w:color w:val="000000"/>
              </w:rPr>
              <w:t>-4.1</w:t>
            </w:r>
            <w:r>
              <w:rPr>
                <w:color w:val="000000"/>
              </w:rPr>
              <w:t>)</w:t>
            </w:r>
          </w:p>
        </w:tc>
        <w:tc>
          <w:tcPr>
            <w:tcW w:w="0" w:type="auto"/>
            <w:tcBorders>
              <w:top w:val="nil"/>
              <w:left w:val="nil"/>
              <w:bottom w:val="nil"/>
              <w:right w:val="nil"/>
            </w:tcBorders>
            <w:shd w:val="clear" w:color="auto" w:fill="auto"/>
            <w:noWrap/>
            <w:vAlign w:val="center"/>
            <w:hideMark/>
          </w:tcPr>
          <w:p w:rsidR="000D4BF4" w:rsidRPr="0048014D" w:rsidRDefault="000D4BF4" w:rsidP="00666F68">
            <w:pPr>
              <w:overflowPunct/>
              <w:autoSpaceDE/>
              <w:autoSpaceDN/>
              <w:adjustRightInd/>
              <w:spacing w:before="60"/>
              <w:ind w:right="-110"/>
              <w:jc w:val="right"/>
              <w:textAlignment w:val="auto"/>
              <w:rPr>
                <w:color w:val="000000"/>
              </w:rPr>
            </w:pPr>
            <w:r w:rsidRPr="0048014D">
              <w:rPr>
                <w:color w:val="000000"/>
              </w:rPr>
              <w:t>-0.303</w:t>
            </w:r>
          </w:p>
        </w:tc>
        <w:tc>
          <w:tcPr>
            <w:tcW w:w="0" w:type="auto"/>
            <w:tcBorders>
              <w:top w:val="nil"/>
              <w:left w:val="nil"/>
              <w:bottom w:val="nil"/>
              <w:right w:val="nil"/>
            </w:tcBorders>
            <w:shd w:val="clear" w:color="auto" w:fill="auto"/>
            <w:noWrap/>
            <w:vAlign w:val="center"/>
            <w:hideMark/>
          </w:tcPr>
          <w:p w:rsidR="000D4BF4" w:rsidRPr="0048014D" w:rsidRDefault="000D4BF4" w:rsidP="00666F68">
            <w:pPr>
              <w:overflowPunct/>
              <w:autoSpaceDE/>
              <w:autoSpaceDN/>
              <w:adjustRightInd/>
              <w:spacing w:before="60"/>
              <w:ind w:left="-71"/>
              <w:textAlignment w:val="auto"/>
              <w:rPr>
                <w:color w:val="000000"/>
              </w:rPr>
            </w:pPr>
            <w:r w:rsidRPr="0048014D">
              <w:rPr>
                <w:color w:val="000000"/>
                <w:vertAlign w:val="superscript"/>
              </w:rPr>
              <w:t>***</w:t>
            </w:r>
          </w:p>
        </w:tc>
        <w:tc>
          <w:tcPr>
            <w:tcW w:w="0" w:type="auto"/>
            <w:tcBorders>
              <w:top w:val="nil"/>
              <w:left w:val="nil"/>
              <w:bottom w:val="nil"/>
              <w:right w:val="nil"/>
            </w:tcBorders>
            <w:shd w:val="clear" w:color="auto" w:fill="auto"/>
            <w:noWrap/>
            <w:vAlign w:val="center"/>
            <w:hideMark/>
          </w:tcPr>
          <w:p w:rsidR="000D4BF4" w:rsidRPr="0048014D" w:rsidRDefault="008F386D" w:rsidP="00666F68">
            <w:pPr>
              <w:overflowPunct/>
              <w:autoSpaceDE/>
              <w:autoSpaceDN/>
              <w:adjustRightInd/>
              <w:spacing w:before="60"/>
              <w:textAlignment w:val="auto"/>
              <w:rPr>
                <w:color w:val="000000"/>
              </w:rPr>
            </w:pPr>
            <w:r>
              <w:rPr>
                <w:color w:val="000000"/>
              </w:rPr>
              <w:t>(</w:t>
            </w:r>
            <w:r w:rsidR="000D4BF4" w:rsidRPr="0048014D">
              <w:rPr>
                <w:color w:val="000000"/>
              </w:rPr>
              <w:t>-3.9</w:t>
            </w:r>
            <w:r>
              <w:rPr>
                <w:color w:val="000000"/>
              </w:rPr>
              <w:t>)</w:t>
            </w:r>
          </w:p>
        </w:tc>
      </w:tr>
      <w:tr w:rsidR="000D4BF4" w:rsidRPr="0048014D" w:rsidTr="00F044F4">
        <w:trPr>
          <w:trHeight w:val="20"/>
        </w:trPr>
        <w:tc>
          <w:tcPr>
            <w:tcW w:w="0" w:type="auto"/>
            <w:tcBorders>
              <w:top w:val="nil"/>
              <w:left w:val="nil"/>
              <w:bottom w:val="nil"/>
              <w:right w:val="nil"/>
            </w:tcBorders>
            <w:shd w:val="clear" w:color="auto" w:fill="auto"/>
            <w:noWrap/>
            <w:vAlign w:val="center"/>
            <w:hideMark/>
          </w:tcPr>
          <w:p w:rsidR="000D4BF4" w:rsidRPr="003D4979" w:rsidRDefault="000D4BF4" w:rsidP="00F044F4">
            <w:pPr>
              <w:overflowPunct/>
              <w:autoSpaceDE/>
              <w:autoSpaceDN/>
              <w:adjustRightInd/>
              <w:textAlignment w:val="auto"/>
            </w:pPr>
            <w:r w:rsidRPr="003D4979">
              <w:t>Capital Gains</w:t>
            </w:r>
            <w:r w:rsidR="00E506FD" w:rsidRPr="00E506FD">
              <w:rPr>
                <w:vertAlign w:val="subscript"/>
              </w:rPr>
              <w:t>t-1</w:t>
            </w:r>
          </w:p>
        </w:tc>
        <w:tc>
          <w:tcPr>
            <w:tcW w:w="0" w:type="auto"/>
            <w:tcBorders>
              <w:top w:val="nil"/>
              <w:left w:val="nil"/>
              <w:bottom w:val="nil"/>
              <w:right w:val="nil"/>
            </w:tcBorders>
            <w:shd w:val="clear" w:color="auto" w:fill="auto"/>
            <w:noWrap/>
            <w:vAlign w:val="center"/>
            <w:hideMark/>
          </w:tcPr>
          <w:p w:rsidR="000D4BF4" w:rsidRPr="0048014D" w:rsidRDefault="000D4BF4" w:rsidP="008F386D">
            <w:pPr>
              <w:overflowPunct/>
              <w:autoSpaceDE/>
              <w:autoSpaceDN/>
              <w:adjustRightInd/>
              <w:ind w:right="-47"/>
              <w:jc w:val="right"/>
              <w:textAlignment w:val="auto"/>
              <w:rPr>
                <w:color w:val="000000"/>
              </w:rPr>
            </w:pPr>
            <w:r w:rsidRPr="0048014D">
              <w:rPr>
                <w:color w:val="000000"/>
              </w:rPr>
              <w:t>0.576</w:t>
            </w:r>
          </w:p>
        </w:tc>
        <w:tc>
          <w:tcPr>
            <w:tcW w:w="0" w:type="auto"/>
            <w:tcBorders>
              <w:top w:val="nil"/>
              <w:left w:val="nil"/>
              <w:bottom w:val="nil"/>
              <w:right w:val="nil"/>
            </w:tcBorders>
            <w:shd w:val="clear" w:color="auto" w:fill="auto"/>
            <w:noWrap/>
            <w:vAlign w:val="center"/>
            <w:hideMark/>
          </w:tcPr>
          <w:p w:rsidR="000D4BF4" w:rsidRPr="0048014D" w:rsidRDefault="000D4BF4" w:rsidP="008F386D">
            <w:pPr>
              <w:overflowPunct/>
              <w:autoSpaceDE/>
              <w:autoSpaceDN/>
              <w:adjustRightInd/>
              <w:ind w:left="-79"/>
              <w:textAlignment w:val="auto"/>
              <w:rPr>
                <w:color w:val="000000"/>
              </w:rPr>
            </w:pPr>
            <w:r w:rsidRPr="0048014D">
              <w:rPr>
                <w:color w:val="000000"/>
                <w:vertAlign w:val="superscript"/>
              </w:rPr>
              <w:t>***</w:t>
            </w:r>
          </w:p>
        </w:tc>
        <w:tc>
          <w:tcPr>
            <w:tcW w:w="0" w:type="auto"/>
            <w:tcBorders>
              <w:top w:val="nil"/>
              <w:left w:val="nil"/>
              <w:bottom w:val="nil"/>
              <w:right w:val="nil"/>
            </w:tcBorders>
            <w:shd w:val="clear" w:color="auto" w:fill="auto"/>
            <w:noWrap/>
            <w:vAlign w:val="center"/>
            <w:hideMark/>
          </w:tcPr>
          <w:p w:rsidR="000D4BF4" w:rsidRPr="0048014D" w:rsidRDefault="008F386D" w:rsidP="008F386D">
            <w:pPr>
              <w:overflowPunct/>
              <w:autoSpaceDE/>
              <w:autoSpaceDN/>
              <w:adjustRightInd/>
              <w:textAlignment w:val="auto"/>
              <w:rPr>
                <w:color w:val="000000"/>
              </w:rPr>
            </w:pPr>
            <w:r>
              <w:rPr>
                <w:color w:val="000000"/>
              </w:rPr>
              <w:t>(</w:t>
            </w:r>
            <w:r w:rsidR="000D4BF4" w:rsidRPr="0048014D">
              <w:rPr>
                <w:color w:val="000000"/>
              </w:rPr>
              <w:t>-4.2</w:t>
            </w:r>
            <w:r>
              <w:rPr>
                <w:color w:val="000000"/>
              </w:rPr>
              <w:t>)</w:t>
            </w:r>
          </w:p>
        </w:tc>
        <w:tc>
          <w:tcPr>
            <w:tcW w:w="0" w:type="auto"/>
            <w:tcBorders>
              <w:top w:val="nil"/>
              <w:left w:val="nil"/>
              <w:bottom w:val="nil"/>
              <w:right w:val="nil"/>
            </w:tcBorders>
            <w:shd w:val="clear" w:color="auto" w:fill="auto"/>
            <w:noWrap/>
            <w:vAlign w:val="center"/>
            <w:hideMark/>
          </w:tcPr>
          <w:p w:rsidR="000D4BF4" w:rsidRPr="0048014D" w:rsidRDefault="000D4BF4" w:rsidP="008F386D">
            <w:pPr>
              <w:overflowPunct/>
              <w:autoSpaceDE/>
              <w:autoSpaceDN/>
              <w:adjustRightInd/>
              <w:ind w:right="-98"/>
              <w:jc w:val="right"/>
              <w:textAlignment w:val="auto"/>
              <w:rPr>
                <w:color w:val="000000"/>
              </w:rPr>
            </w:pPr>
            <w:r w:rsidRPr="0048014D">
              <w:rPr>
                <w:color w:val="000000"/>
              </w:rPr>
              <w:t>0.588</w:t>
            </w:r>
          </w:p>
        </w:tc>
        <w:tc>
          <w:tcPr>
            <w:tcW w:w="0" w:type="auto"/>
            <w:tcBorders>
              <w:top w:val="nil"/>
              <w:left w:val="nil"/>
              <w:bottom w:val="nil"/>
              <w:right w:val="nil"/>
            </w:tcBorders>
            <w:shd w:val="clear" w:color="auto" w:fill="auto"/>
            <w:noWrap/>
            <w:vAlign w:val="center"/>
            <w:hideMark/>
          </w:tcPr>
          <w:p w:rsidR="000D4BF4" w:rsidRPr="0048014D" w:rsidRDefault="000D4BF4" w:rsidP="008F386D">
            <w:pPr>
              <w:overflowPunct/>
              <w:autoSpaceDE/>
              <w:autoSpaceDN/>
              <w:adjustRightInd/>
              <w:ind w:left="-75"/>
              <w:textAlignment w:val="auto"/>
              <w:rPr>
                <w:color w:val="000000"/>
              </w:rPr>
            </w:pPr>
            <w:r w:rsidRPr="0048014D">
              <w:rPr>
                <w:color w:val="000000"/>
                <w:vertAlign w:val="superscript"/>
              </w:rPr>
              <w:t>***</w:t>
            </w:r>
          </w:p>
        </w:tc>
        <w:tc>
          <w:tcPr>
            <w:tcW w:w="0" w:type="auto"/>
            <w:tcBorders>
              <w:top w:val="nil"/>
              <w:left w:val="nil"/>
              <w:bottom w:val="nil"/>
              <w:right w:val="nil"/>
            </w:tcBorders>
            <w:shd w:val="clear" w:color="auto" w:fill="auto"/>
            <w:noWrap/>
            <w:vAlign w:val="center"/>
            <w:hideMark/>
          </w:tcPr>
          <w:p w:rsidR="000D4BF4" w:rsidRPr="0048014D" w:rsidRDefault="008F386D" w:rsidP="008F386D">
            <w:pPr>
              <w:overflowPunct/>
              <w:autoSpaceDE/>
              <w:autoSpaceDN/>
              <w:adjustRightInd/>
              <w:textAlignment w:val="auto"/>
              <w:rPr>
                <w:color w:val="000000"/>
              </w:rPr>
            </w:pPr>
            <w:r>
              <w:rPr>
                <w:color w:val="000000"/>
              </w:rPr>
              <w:t>(</w:t>
            </w:r>
            <w:r w:rsidR="000D4BF4" w:rsidRPr="0048014D">
              <w:rPr>
                <w:color w:val="000000"/>
              </w:rPr>
              <w:t>7.2</w:t>
            </w:r>
            <w:r>
              <w:rPr>
                <w:color w:val="000000"/>
              </w:rPr>
              <w:t>)</w:t>
            </w:r>
          </w:p>
        </w:tc>
        <w:tc>
          <w:tcPr>
            <w:tcW w:w="0" w:type="auto"/>
            <w:tcBorders>
              <w:top w:val="nil"/>
              <w:left w:val="nil"/>
              <w:bottom w:val="nil"/>
              <w:right w:val="nil"/>
            </w:tcBorders>
            <w:shd w:val="clear" w:color="auto" w:fill="auto"/>
            <w:noWrap/>
            <w:vAlign w:val="center"/>
            <w:hideMark/>
          </w:tcPr>
          <w:p w:rsidR="000D4BF4" w:rsidRPr="0048014D" w:rsidRDefault="000D4BF4" w:rsidP="008F386D">
            <w:pPr>
              <w:overflowPunct/>
              <w:autoSpaceDE/>
              <w:autoSpaceDN/>
              <w:adjustRightInd/>
              <w:ind w:right="-110"/>
              <w:jc w:val="right"/>
              <w:textAlignment w:val="auto"/>
              <w:rPr>
                <w:color w:val="000000"/>
              </w:rPr>
            </w:pPr>
            <w:r w:rsidRPr="0048014D">
              <w:rPr>
                <w:color w:val="000000"/>
              </w:rPr>
              <w:t>0.600</w:t>
            </w:r>
          </w:p>
        </w:tc>
        <w:tc>
          <w:tcPr>
            <w:tcW w:w="0" w:type="auto"/>
            <w:tcBorders>
              <w:top w:val="nil"/>
              <w:left w:val="nil"/>
              <w:bottom w:val="nil"/>
              <w:right w:val="nil"/>
            </w:tcBorders>
            <w:shd w:val="clear" w:color="auto" w:fill="auto"/>
            <w:noWrap/>
            <w:vAlign w:val="center"/>
            <w:hideMark/>
          </w:tcPr>
          <w:p w:rsidR="000D4BF4" w:rsidRPr="0048014D" w:rsidRDefault="000D4BF4" w:rsidP="008F386D">
            <w:pPr>
              <w:overflowPunct/>
              <w:autoSpaceDE/>
              <w:autoSpaceDN/>
              <w:adjustRightInd/>
              <w:ind w:left="-71"/>
              <w:textAlignment w:val="auto"/>
              <w:rPr>
                <w:color w:val="000000"/>
              </w:rPr>
            </w:pPr>
            <w:r w:rsidRPr="0048014D">
              <w:rPr>
                <w:color w:val="000000"/>
                <w:vertAlign w:val="superscript"/>
              </w:rPr>
              <w:t>***</w:t>
            </w:r>
          </w:p>
        </w:tc>
        <w:tc>
          <w:tcPr>
            <w:tcW w:w="0" w:type="auto"/>
            <w:tcBorders>
              <w:top w:val="nil"/>
              <w:left w:val="nil"/>
              <w:bottom w:val="nil"/>
              <w:right w:val="nil"/>
            </w:tcBorders>
            <w:shd w:val="clear" w:color="auto" w:fill="auto"/>
            <w:noWrap/>
            <w:vAlign w:val="center"/>
            <w:hideMark/>
          </w:tcPr>
          <w:p w:rsidR="000D4BF4" w:rsidRPr="0048014D" w:rsidRDefault="008F386D" w:rsidP="008F386D">
            <w:pPr>
              <w:overflowPunct/>
              <w:autoSpaceDE/>
              <w:autoSpaceDN/>
              <w:adjustRightInd/>
              <w:textAlignment w:val="auto"/>
              <w:rPr>
                <w:color w:val="000000"/>
              </w:rPr>
            </w:pPr>
            <w:r>
              <w:rPr>
                <w:color w:val="000000"/>
              </w:rPr>
              <w:t>(</w:t>
            </w:r>
            <w:r w:rsidR="000D4BF4" w:rsidRPr="0048014D">
              <w:rPr>
                <w:color w:val="000000"/>
              </w:rPr>
              <w:t>7.0</w:t>
            </w:r>
            <w:r>
              <w:rPr>
                <w:color w:val="000000"/>
              </w:rPr>
              <w:t>)</w:t>
            </w:r>
          </w:p>
        </w:tc>
      </w:tr>
      <w:tr w:rsidR="000D4BF4" w:rsidRPr="0048014D" w:rsidTr="00F044F4">
        <w:trPr>
          <w:trHeight w:val="20"/>
        </w:trPr>
        <w:tc>
          <w:tcPr>
            <w:tcW w:w="0" w:type="auto"/>
            <w:tcBorders>
              <w:top w:val="nil"/>
              <w:left w:val="nil"/>
              <w:bottom w:val="nil"/>
              <w:right w:val="nil"/>
            </w:tcBorders>
            <w:shd w:val="clear" w:color="auto" w:fill="auto"/>
            <w:noWrap/>
            <w:vAlign w:val="center"/>
            <w:hideMark/>
          </w:tcPr>
          <w:p w:rsidR="000D4BF4" w:rsidRPr="003D4979" w:rsidRDefault="000D4BF4" w:rsidP="00F044F4">
            <w:pPr>
              <w:overflowPunct/>
              <w:autoSpaceDE/>
              <w:autoSpaceDN/>
              <w:adjustRightInd/>
              <w:textAlignment w:val="auto"/>
            </w:pPr>
            <w:r w:rsidRPr="003D4979">
              <w:t>Cap Rates</w:t>
            </w:r>
            <w:r w:rsidR="00E506FD" w:rsidRPr="00E506FD">
              <w:rPr>
                <w:vertAlign w:val="subscript"/>
              </w:rPr>
              <w:t>t-1</w:t>
            </w:r>
          </w:p>
        </w:tc>
        <w:tc>
          <w:tcPr>
            <w:tcW w:w="0" w:type="auto"/>
            <w:tcBorders>
              <w:top w:val="nil"/>
              <w:left w:val="nil"/>
              <w:bottom w:val="nil"/>
              <w:right w:val="nil"/>
            </w:tcBorders>
            <w:shd w:val="clear" w:color="auto" w:fill="auto"/>
            <w:noWrap/>
            <w:vAlign w:val="center"/>
            <w:hideMark/>
          </w:tcPr>
          <w:p w:rsidR="000D4BF4" w:rsidRPr="0048014D" w:rsidRDefault="000D4BF4" w:rsidP="008F386D">
            <w:pPr>
              <w:overflowPunct/>
              <w:autoSpaceDE/>
              <w:autoSpaceDN/>
              <w:adjustRightInd/>
              <w:ind w:right="-47"/>
              <w:jc w:val="right"/>
              <w:textAlignment w:val="auto"/>
              <w:rPr>
                <w:color w:val="000000"/>
              </w:rPr>
            </w:pPr>
            <w:r w:rsidRPr="0048014D">
              <w:rPr>
                <w:color w:val="000000"/>
              </w:rPr>
              <w:t>-0.080</w:t>
            </w:r>
          </w:p>
        </w:tc>
        <w:tc>
          <w:tcPr>
            <w:tcW w:w="0" w:type="auto"/>
            <w:tcBorders>
              <w:top w:val="nil"/>
              <w:left w:val="nil"/>
              <w:bottom w:val="nil"/>
              <w:right w:val="nil"/>
            </w:tcBorders>
            <w:shd w:val="clear" w:color="auto" w:fill="auto"/>
            <w:noWrap/>
            <w:vAlign w:val="bottom"/>
            <w:hideMark/>
          </w:tcPr>
          <w:p w:rsidR="000D4BF4" w:rsidRPr="0048014D" w:rsidRDefault="000D4BF4" w:rsidP="00F044F4">
            <w:pPr>
              <w:overflowPunct/>
              <w:autoSpaceDE/>
              <w:autoSpaceDN/>
              <w:adjustRightInd/>
              <w:textAlignment w:val="auto"/>
              <w:rPr>
                <w:color w:val="000000"/>
                <w:sz w:val="24"/>
                <w:szCs w:val="24"/>
              </w:rPr>
            </w:pPr>
          </w:p>
        </w:tc>
        <w:tc>
          <w:tcPr>
            <w:tcW w:w="0" w:type="auto"/>
            <w:tcBorders>
              <w:top w:val="nil"/>
              <w:left w:val="nil"/>
              <w:bottom w:val="nil"/>
              <w:right w:val="nil"/>
            </w:tcBorders>
            <w:shd w:val="clear" w:color="auto" w:fill="auto"/>
            <w:noWrap/>
            <w:vAlign w:val="center"/>
            <w:hideMark/>
          </w:tcPr>
          <w:p w:rsidR="000D4BF4" w:rsidRPr="0048014D" w:rsidRDefault="008F386D" w:rsidP="008F386D">
            <w:pPr>
              <w:overflowPunct/>
              <w:autoSpaceDE/>
              <w:autoSpaceDN/>
              <w:adjustRightInd/>
              <w:textAlignment w:val="auto"/>
              <w:rPr>
                <w:color w:val="000000"/>
              </w:rPr>
            </w:pPr>
            <w:r>
              <w:rPr>
                <w:color w:val="000000"/>
              </w:rPr>
              <w:t>(</w:t>
            </w:r>
            <w:r w:rsidR="000D4BF4" w:rsidRPr="0048014D">
              <w:rPr>
                <w:color w:val="000000"/>
              </w:rPr>
              <w:t>-1.3</w:t>
            </w:r>
            <w:r>
              <w:rPr>
                <w:color w:val="000000"/>
              </w:rPr>
              <w:t>)</w:t>
            </w:r>
          </w:p>
        </w:tc>
        <w:tc>
          <w:tcPr>
            <w:tcW w:w="0" w:type="auto"/>
            <w:tcBorders>
              <w:top w:val="nil"/>
              <w:left w:val="nil"/>
              <w:bottom w:val="nil"/>
              <w:right w:val="nil"/>
            </w:tcBorders>
            <w:shd w:val="clear" w:color="auto" w:fill="auto"/>
            <w:noWrap/>
            <w:vAlign w:val="bottom"/>
            <w:hideMark/>
          </w:tcPr>
          <w:p w:rsidR="000D4BF4" w:rsidRPr="0048014D" w:rsidRDefault="000D4BF4" w:rsidP="008F386D">
            <w:pPr>
              <w:overflowPunct/>
              <w:autoSpaceDE/>
              <w:autoSpaceDN/>
              <w:adjustRightInd/>
              <w:ind w:right="-98"/>
              <w:textAlignment w:val="auto"/>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0D4BF4" w:rsidRPr="0048014D" w:rsidRDefault="000D4BF4" w:rsidP="00F044F4">
            <w:pPr>
              <w:overflowPunct/>
              <w:autoSpaceDE/>
              <w:autoSpaceDN/>
              <w:adjustRightInd/>
              <w:textAlignment w:val="auto"/>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0D4BF4" w:rsidRPr="0048014D" w:rsidRDefault="000D4BF4" w:rsidP="008F386D">
            <w:pPr>
              <w:overflowPunct/>
              <w:autoSpaceDE/>
              <w:autoSpaceDN/>
              <w:adjustRightInd/>
              <w:textAlignment w:val="auto"/>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0D4BF4" w:rsidRPr="0048014D" w:rsidRDefault="000D4BF4" w:rsidP="008F386D">
            <w:pPr>
              <w:overflowPunct/>
              <w:autoSpaceDE/>
              <w:autoSpaceDN/>
              <w:adjustRightInd/>
              <w:ind w:right="-110"/>
              <w:textAlignment w:val="auto"/>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0D4BF4" w:rsidRPr="0048014D" w:rsidRDefault="000D4BF4" w:rsidP="00F044F4">
            <w:pPr>
              <w:overflowPunct/>
              <w:autoSpaceDE/>
              <w:autoSpaceDN/>
              <w:adjustRightInd/>
              <w:textAlignment w:val="auto"/>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0D4BF4" w:rsidRPr="0048014D" w:rsidRDefault="000D4BF4" w:rsidP="008F386D">
            <w:pPr>
              <w:overflowPunct/>
              <w:autoSpaceDE/>
              <w:autoSpaceDN/>
              <w:adjustRightInd/>
              <w:textAlignment w:val="auto"/>
              <w:rPr>
                <w:rFonts w:ascii="Calibri" w:hAnsi="Calibri"/>
                <w:color w:val="000000"/>
                <w:sz w:val="22"/>
                <w:szCs w:val="22"/>
              </w:rPr>
            </w:pPr>
          </w:p>
        </w:tc>
      </w:tr>
      <w:tr w:rsidR="000D4BF4" w:rsidRPr="0048014D" w:rsidTr="00F044F4">
        <w:trPr>
          <w:trHeight w:val="20"/>
        </w:trPr>
        <w:tc>
          <w:tcPr>
            <w:tcW w:w="0" w:type="auto"/>
            <w:tcBorders>
              <w:top w:val="nil"/>
              <w:left w:val="nil"/>
              <w:bottom w:val="nil"/>
              <w:right w:val="nil"/>
            </w:tcBorders>
            <w:shd w:val="clear" w:color="auto" w:fill="auto"/>
            <w:noWrap/>
            <w:vAlign w:val="center"/>
            <w:hideMark/>
          </w:tcPr>
          <w:p w:rsidR="000D4BF4" w:rsidRPr="003D4979" w:rsidRDefault="000D4BF4" w:rsidP="00F044F4">
            <w:pPr>
              <w:overflowPunct/>
              <w:autoSpaceDE/>
              <w:autoSpaceDN/>
              <w:adjustRightInd/>
              <w:textAlignment w:val="auto"/>
            </w:pPr>
            <w:r w:rsidRPr="003D4979">
              <w:t>Volume</w:t>
            </w:r>
            <w:r w:rsidR="00E506FD" w:rsidRPr="00E506FD">
              <w:rPr>
                <w:vertAlign w:val="subscript"/>
              </w:rPr>
              <w:t>t-1</w:t>
            </w:r>
          </w:p>
        </w:tc>
        <w:tc>
          <w:tcPr>
            <w:tcW w:w="0" w:type="auto"/>
            <w:tcBorders>
              <w:top w:val="nil"/>
              <w:left w:val="nil"/>
              <w:bottom w:val="nil"/>
              <w:right w:val="nil"/>
            </w:tcBorders>
            <w:shd w:val="clear" w:color="auto" w:fill="auto"/>
            <w:noWrap/>
            <w:vAlign w:val="center"/>
            <w:hideMark/>
          </w:tcPr>
          <w:p w:rsidR="000D4BF4" w:rsidRPr="0048014D" w:rsidRDefault="000D4BF4" w:rsidP="008F386D">
            <w:pPr>
              <w:overflowPunct/>
              <w:autoSpaceDE/>
              <w:autoSpaceDN/>
              <w:adjustRightInd/>
              <w:ind w:right="-47"/>
              <w:jc w:val="right"/>
              <w:textAlignment w:val="auto"/>
              <w:rPr>
                <w:color w:val="000000"/>
              </w:rPr>
            </w:pPr>
            <w:r w:rsidRPr="0048014D">
              <w:rPr>
                <w:color w:val="000000"/>
              </w:rPr>
              <w:t>0.089</w:t>
            </w:r>
          </w:p>
        </w:tc>
        <w:tc>
          <w:tcPr>
            <w:tcW w:w="0" w:type="auto"/>
            <w:tcBorders>
              <w:top w:val="nil"/>
              <w:left w:val="nil"/>
              <w:bottom w:val="nil"/>
              <w:right w:val="nil"/>
            </w:tcBorders>
            <w:shd w:val="clear" w:color="auto" w:fill="auto"/>
            <w:noWrap/>
            <w:vAlign w:val="bottom"/>
            <w:hideMark/>
          </w:tcPr>
          <w:p w:rsidR="000D4BF4" w:rsidRPr="0048014D" w:rsidRDefault="000D4BF4" w:rsidP="00F044F4">
            <w:pPr>
              <w:overflowPunct/>
              <w:autoSpaceDE/>
              <w:autoSpaceDN/>
              <w:adjustRightInd/>
              <w:textAlignment w:val="auto"/>
              <w:rPr>
                <w:color w:val="000000"/>
                <w:sz w:val="24"/>
                <w:szCs w:val="24"/>
              </w:rPr>
            </w:pPr>
          </w:p>
        </w:tc>
        <w:tc>
          <w:tcPr>
            <w:tcW w:w="0" w:type="auto"/>
            <w:tcBorders>
              <w:top w:val="nil"/>
              <w:left w:val="nil"/>
              <w:bottom w:val="nil"/>
              <w:right w:val="nil"/>
            </w:tcBorders>
            <w:shd w:val="clear" w:color="auto" w:fill="auto"/>
            <w:noWrap/>
            <w:vAlign w:val="center"/>
            <w:hideMark/>
          </w:tcPr>
          <w:p w:rsidR="000D4BF4" w:rsidRPr="0048014D" w:rsidRDefault="008F386D" w:rsidP="008F386D">
            <w:pPr>
              <w:overflowPunct/>
              <w:autoSpaceDE/>
              <w:autoSpaceDN/>
              <w:adjustRightInd/>
              <w:textAlignment w:val="auto"/>
              <w:rPr>
                <w:color w:val="000000"/>
              </w:rPr>
            </w:pPr>
            <w:r>
              <w:rPr>
                <w:color w:val="000000"/>
              </w:rPr>
              <w:t>(</w:t>
            </w:r>
            <w:r w:rsidR="000D4BF4" w:rsidRPr="0048014D">
              <w:rPr>
                <w:color w:val="000000"/>
              </w:rPr>
              <w:t>1.3</w:t>
            </w:r>
            <w:r>
              <w:rPr>
                <w:color w:val="000000"/>
              </w:rPr>
              <w:t>)</w:t>
            </w:r>
          </w:p>
        </w:tc>
        <w:tc>
          <w:tcPr>
            <w:tcW w:w="0" w:type="auto"/>
            <w:tcBorders>
              <w:top w:val="nil"/>
              <w:left w:val="nil"/>
              <w:bottom w:val="nil"/>
              <w:right w:val="nil"/>
            </w:tcBorders>
            <w:shd w:val="clear" w:color="auto" w:fill="auto"/>
            <w:noWrap/>
            <w:vAlign w:val="center"/>
            <w:hideMark/>
          </w:tcPr>
          <w:p w:rsidR="000D4BF4" w:rsidRPr="0048014D" w:rsidRDefault="000D4BF4" w:rsidP="008F386D">
            <w:pPr>
              <w:overflowPunct/>
              <w:autoSpaceDE/>
              <w:autoSpaceDN/>
              <w:adjustRightInd/>
              <w:ind w:right="-98"/>
              <w:jc w:val="right"/>
              <w:textAlignment w:val="auto"/>
              <w:rPr>
                <w:color w:val="000000"/>
              </w:rPr>
            </w:pPr>
            <w:r w:rsidRPr="0048014D">
              <w:rPr>
                <w:color w:val="000000"/>
              </w:rPr>
              <w:t>0.101</w:t>
            </w:r>
          </w:p>
        </w:tc>
        <w:tc>
          <w:tcPr>
            <w:tcW w:w="0" w:type="auto"/>
            <w:tcBorders>
              <w:top w:val="nil"/>
              <w:left w:val="nil"/>
              <w:bottom w:val="nil"/>
              <w:right w:val="nil"/>
            </w:tcBorders>
            <w:shd w:val="clear" w:color="auto" w:fill="auto"/>
            <w:noWrap/>
            <w:vAlign w:val="bottom"/>
            <w:hideMark/>
          </w:tcPr>
          <w:p w:rsidR="000D4BF4" w:rsidRPr="0048014D" w:rsidRDefault="000D4BF4" w:rsidP="00F044F4">
            <w:pPr>
              <w:overflowPunct/>
              <w:autoSpaceDE/>
              <w:autoSpaceDN/>
              <w:adjustRightInd/>
              <w:textAlignment w:val="auto"/>
              <w:rPr>
                <w:color w:val="000000"/>
                <w:sz w:val="24"/>
                <w:szCs w:val="24"/>
              </w:rPr>
            </w:pPr>
          </w:p>
        </w:tc>
        <w:tc>
          <w:tcPr>
            <w:tcW w:w="0" w:type="auto"/>
            <w:tcBorders>
              <w:top w:val="nil"/>
              <w:left w:val="nil"/>
              <w:bottom w:val="nil"/>
              <w:right w:val="nil"/>
            </w:tcBorders>
            <w:shd w:val="clear" w:color="auto" w:fill="auto"/>
            <w:noWrap/>
            <w:vAlign w:val="center"/>
            <w:hideMark/>
          </w:tcPr>
          <w:p w:rsidR="000D4BF4" w:rsidRPr="0048014D" w:rsidRDefault="008F386D" w:rsidP="008F386D">
            <w:pPr>
              <w:overflowPunct/>
              <w:autoSpaceDE/>
              <w:autoSpaceDN/>
              <w:adjustRightInd/>
              <w:textAlignment w:val="auto"/>
              <w:rPr>
                <w:color w:val="000000"/>
              </w:rPr>
            </w:pPr>
            <w:r>
              <w:rPr>
                <w:color w:val="000000"/>
              </w:rPr>
              <w:t>(</w:t>
            </w:r>
            <w:r w:rsidR="000D4BF4" w:rsidRPr="0048014D">
              <w:rPr>
                <w:color w:val="000000"/>
              </w:rPr>
              <w:t>1.4</w:t>
            </w:r>
            <w:r>
              <w:rPr>
                <w:color w:val="000000"/>
              </w:rPr>
              <w:t>)</w:t>
            </w:r>
          </w:p>
        </w:tc>
        <w:tc>
          <w:tcPr>
            <w:tcW w:w="0" w:type="auto"/>
            <w:tcBorders>
              <w:top w:val="nil"/>
              <w:left w:val="nil"/>
              <w:bottom w:val="nil"/>
              <w:right w:val="nil"/>
            </w:tcBorders>
            <w:shd w:val="clear" w:color="auto" w:fill="auto"/>
            <w:noWrap/>
            <w:vAlign w:val="bottom"/>
            <w:hideMark/>
          </w:tcPr>
          <w:p w:rsidR="000D4BF4" w:rsidRPr="0048014D" w:rsidRDefault="000D4BF4" w:rsidP="008F386D">
            <w:pPr>
              <w:overflowPunct/>
              <w:autoSpaceDE/>
              <w:autoSpaceDN/>
              <w:adjustRightInd/>
              <w:ind w:right="-110"/>
              <w:textAlignment w:val="auto"/>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0D4BF4" w:rsidRPr="0048014D" w:rsidRDefault="000D4BF4" w:rsidP="00F044F4">
            <w:pPr>
              <w:overflowPunct/>
              <w:autoSpaceDE/>
              <w:autoSpaceDN/>
              <w:adjustRightInd/>
              <w:textAlignment w:val="auto"/>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0D4BF4" w:rsidRPr="0048014D" w:rsidRDefault="000D4BF4" w:rsidP="008F386D">
            <w:pPr>
              <w:overflowPunct/>
              <w:autoSpaceDE/>
              <w:autoSpaceDN/>
              <w:adjustRightInd/>
              <w:textAlignment w:val="auto"/>
              <w:rPr>
                <w:rFonts w:ascii="Calibri" w:hAnsi="Calibri"/>
                <w:color w:val="000000"/>
                <w:sz w:val="22"/>
                <w:szCs w:val="22"/>
              </w:rPr>
            </w:pPr>
          </w:p>
        </w:tc>
      </w:tr>
      <w:tr w:rsidR="000D4BF4" w:rsidRPr="0048014D" w:rsidTr="00F044F4">
        <w:trPr>
          <w:trHeight w:val="20"/>
        </w:trPr>
        <w:tc>
          <w:tcPr>
            <w:tcW w:w="0" w:type="auto"/>
            <w:tcBorders>
              <w:top w:val="nil"/>
              <w:left w:val="nil"/>
              <w:bottom w:val="nil"/>
              <w:right w:val="nil"/>
            </w:tcBorders>
            <w:shd w:val="clear" w:color="auto" w:fill="auto"/>
            <w:noWrap/>
            <w:vAlign w:val="center"/>
            <w:hideMark/>
          </w:tcPr>
          <w:p w:rsidR="000D4BF4" w:rsidRPr="003D4979" w:rsidRDefault="000D4BF4" w:rsidP="00F044F4">
            <w:pPr>
              <w:overflowPunct/>
              <w:autoSpaceDE/>
              <w:autoSpaceDN/>
              <w:adjustRightInd/>
              <w:textAlignment w:val="auto"/>
            </w:pPr>
            <w:r w:rsidRPr="003D4979">
              <w:t>E{Income Returns}</w:t>
            </w:r>
            <w:r w:rsidR="00E506FD" w:rsidRPr="00E506FD">
              <w:rPr>
                <w:vertAlign w:val="subscript"/>
              </w:rPr>
              <w:t>t+4</w:t>
            </w:r>
          </w:p>
        </w:tc>
        <w:tc>
          <w:tcPr>
            <w:tcW w:w="0" w:type="auto"/>
            <w:tcBorders>
              <w:top w:val="nil"/>
              <w:left w:val="nil"/>
              <w:bottom w:val="nil"/>
              <w:right w:val="nil"/>
            </w:tcBorders>
            <w:shd w:val="clear" w:color="auto" w:fill="auto"/>
            <w:noWrap/>
            <w:vAlign w:val="center"/>
          </w:tcPr>
          <w:p w:rsidR="000D4BF4" w:rsidRPr="0048014D" w:rsidRDefault="000D4BF4" w:rsidP="008F386D">
            <w:pPr>
              <w:overflowPunct/>
              <w:autoSpaceDE/>
              <w:autoSpaceDN/>
              <w:adjustRightInd/>
              <w:ind w:right="-47"/>
              <w:jc w:val="right"/>
              <w:textAlignment w:val="auto"/>
              <w:rPr>
                <w:color w:val="000000"/>
              </w:rPr>
            </w:pPr>
          </w:p>
        </w:tc>
        <w:tc>
          <w:tcPr>
            <w:tcW w:w="0" w:type="auto"/>
            <w:tcBorders>
              <w:top w:val="nil"/>
              <w:left w:val="nil"/>
              <w:bottom w:val="nil"/>
              <w:right w:val="nil"/>
            </w:tcBorders>
            <w:shd w:val="clear" w:color="auto" w:fill="auto"/>
            <w:noWrap/>
            <w:vAlign w:val="bottom"/>
            <w:hideMark/>
          </w:tcPr>
          <w:p w:rsidR="000D4BF4" w:rsidRPr="0048014D" w:rsidRDefault="000D4BF4" w:rsidP="00F044F4">
            <w:pPr>
              <w:overflowPunct/>
              <w:autoSpaceDE/>
              <w:autoSpaceDN/>
              <w:adjustRightInd/>
              <w:textAlignment w:val="auto"/>
              <w:rPr>
                <w:color w:val="000000"/>
                <w:sz w:val="24"/>
                <w:szCs w:val="24"/>
              </w:rPr>
            </w:pPr>
          </w:p>
        </w:tc>
        <w:tc>
          <w:tcPr>
            <w:tcW w:w="0" w:type="auto"/>
            <w:tcBorders>
              <w:top w:val="nil"/>
              <w:left w:val="nil"/>
              <w:bottom w:val="nil"/>
              <w:right w:val="nil"/>
            </w:tcBorders>
            <w:shd w:val="clear" w:color="auto" w:fill="auto"/>
            <w:noWrap/>
            <w:vAlign w:val="center"/>
            <w:hideMark/>
          </w:tcPr>
          <w:p w:rsidR="000D4BF4" w:rsidRPr="0048014D" w:rsidRDefault="000D4BF4" w:rsidP="00F044F4">
            <w:pPr>
              <w:overflowPunct/>
              <w:autoSpaceDE/>
              <w:autoSpaceDN/>
              <w:adjustRightInd/>
              <w:jc w:val="center"/>
              <w:textAlignment w:val="auto"/>
              <w:rPr>
                <w:color w:val="000000"/>
              </w:rPr>
            </w:pPr>
          </w:p>
        </w:tc>
        <w:tc>
          <w:tcPr>
            <w:tcW w:w="0" w:type="auto"/>
            <w:tcBorders>
              <w:top w:val="nil"/>
              <w:left w:val="nil"/>
              <w:bottom w:val="nil"/>
              <w:right w:val="nil"/>
            </w:tcBorders>
            <w:shd w:val="clear" w:color="auto" w:fill="auto"/>
            <w:noWrap/>
            <w:vAlign w:val="center"/>
            <w:hideMark/>
          </w:tcPr>
          <w:p w:rsidR="000D4BF4" w:rsidRPr="0048014D" w:rsidRDefault="000D4BF4" w:rsidP="008F386D">
            <w:pPr>
              <w:overflowPunct/>
              <w:autoSpaceDE/>
              <w:autoSpaceDN/>
              <w:adjustRightInd/>
              <w:ind w:right="-98"/>
              <w:jc w:val="right"/>
              <w:textAlignment w:val="auto"/>
              <w:rPr>
                <w:color w:val="000000"/>
              </w:rPr>
            </w:pPr>
            <w:r w:rsidRPr="0048014D">
              <w:rPr>
                <w:color w:val="000000"/>
              </w:rPr>
              <w:t>-0.066</w:t>
            </w:r>
          </w:p>
        </w:tc>
        <w:tc>
          <w:tcPr>
            <w:tcW w:w="0" w:type="auto"/>
            <w:tcBorders>
              <w:top w:val="nil"/>
              <w:left w:val="nil"/>
              <w:bottom w:val="nil"/>
              <w:right w:val="nil"/>
            </w:tcBorders>
            <w:shd w:val="clear" w:color="auto" w:fill="auto"/>
            <w:noWrap/>
            <w:vAlign w:val="bottom"/>
            <w:hideMark/>
          </w:tcPr>
          <w:p w:rsidR="000D4BF4" w:rsidRPr="0048014D" w:rsidRDefault="000D4BF4" w:rsidP="00F044F4">
            <w:pPr>
              <w:overflowPunct/>
              <w:autoSpaceDE/>
              <w:autoSpaceDN/>
              <w:adjustRightInd/>
              <w:textAlignment w:val="auto"/>
              <w:rPr>
                <w:color w:val="000000"/>
                <w:sz w:val="24"/>
                <w:szCs w:val="24"/>
              </w:rPr>
            </w:pPr>
          </w:p>
        </w:tc>
        <w:tc>
          <w:tcPr>
            <w:tcW w:w="0" w:type="auto"/>
            <w:tcBorders>
              <w:top w:val="nil"/>
              <w:left w:val="nil"/>
              <w:bottom w:val="nil"/>
              <w:right w:val="nil"/>
            </w:tcBorders>
            <w:shd w:val="clear" w:color="auto" w:fill="auto"/>
            <w:noWrap/>
            <w:vAlign w:val="center"/>
            <w:hideMark/>
          </w:tcPr>
          <w:p w:rsidR="000D4BF4" w:rsidRPr="0048014D" w:rsidRDefault="008F386D" w:rsidP="008F386D">
            <w:pPr>
              <w:overflowPunct/>
              <w:autoSpaceDE/>
              <w:autoSpaceDN/>
              <w:adjustRightInd/>
              <w:textAlignment w:val="auto"/>
              <w:rPr>
                <w:color w:val="000000"/>
              </w:rPr>
            </w:pPr>
            <w:r>
              <w:rPr>
                <w:color w:val="000000"/>
              </w:rPr>
              <w:t>(</w:t>
            </w:r>
            <w:r w:rsidR="000D4BF4" w:rsidRPr="0048014D">
              <w:rPr>
                <w:color w:val="000000"/>
              </w:rPr>
              <w:t>-1.1</w:t>
            </w:r>
            <w:r>
              <w:rPr>
                <w:color w:val="000000"/>
              </w:rPr>
              <w:t>)</w:t>
            </w:r>
          </w:p>
        </w:tc>
        <w:tc>
          <w:tcPr>
            <w:tcW w:w="0" w:type="auto"/>
            <w:tcBorders>
              <w:top w:val="nil"/>
              <w:left w:val="nil"/>
              <w:bottom w:val="nil"/>
              <w:right w:val="nil"/>
            </w:tcBorders>
            <w:shd w:val="clear" w:color="auto" w:fill="auto"/>
            <w:noWrap/>
            <w:vAlign w:val="center"/>
            <w:hideMark/>
          </w:tcPr>
          <w:p w:rsidR="000D4BF4" w:rsidRPr="0048014D" w:rsidRDefault="000D4BF4" w:rsidP="008F386D">
            <w:pPr>
              <w:overflowPunct/>
              <w:autoSpaceDE/>
              <w:autoSpaceDN/>
              <w:adjustRightInd/>
              <w:ind w:right="-110"/>
              <w:jc w:val="right"/>
              <w:textAlignment w:val="auto"/>
              <w:rPr>
                <w:color w:val="000000"/>
              </w:rPr>
            </w:pPr>
          </w:p>
        </w:tc>
        <w:tc>
          <w:tcPr>
            <w:tcW w:w="0" w:type="auto"/>
            <w:tcBorders>
              <w:top w:val="nil"/>
              <w:left w:val="nil"/>
              <w:bottom w:val="nil"/>
              <w:right w:val="nil"/>
            </w:tcBorders>
            <w:shd w:val="clear" w:color="auto" w:fill="auto"/>
            <w:noWrap/>
            <w:vAlign w:val="bottom"/>
            <w:hideMark/>
          </w:tcPr>
          <w:p w:rsidR="000D4BF4" w:rsidRPr="0048014D" w:rsidRDefault="000D4BF4" w:rsidP="00F044F4">
            <w:pPr>
              <w:overflowPunct/>
              <w:autoSpaceDE/>
              <w:autoSpaceDN/>
              <w:adjustRightInd/>
              <w:textAlignment w:val="auto"/>
              <w:rPr>
                <w:color w:val="000000"/>
                <w:sz w:val="24"/>
                <w:szCs w:val="24"/>
              </w:rPr>
            </w:pPr>
          </w:p>
        </w:tc>
        <w:tc>
          <w:tcPr>
            <w:tcW w:w="0" w:type="auto"/>
            <w:tcBorders>
              <w:top w:val="nil"/>
              <w:left w:val="nil"/>
              <w:bottom w:val="nil"/>
              <w:right w:val="nil"/>
            </w:tcBorders>
            <w:shd w:val="clear" w:color="auto" w:fill="auto"/>
            <w:noWrap/>
            <w:vAlign w:val="center"/>
            <w:hideMark/>
          </w:tcPr>
          <w:p w:rsidR="000D4BF4" w:rsidRPr="0048014D" w:rsidRDefault="000D4BF4" w:rsidP="008F386D">
            <w:pPr>
              <w:overflowPunct/>
              <w:autoSpaceDE/>
              <w:autoSpaceDN/>
              <w:adjustRightInd/>
              <w:textAlignment w:val="auto"/>
              <w:rPr>
                <w:color w:val="000000"/>
              </w:rPr>
            </w:pPr>
          </w:p>
        </w:tc>
      </w:tr>
      <w:tr w:rsidR="000D4BF4" w:rsidRPr="0048014D" w:rsidTr="00F044F4">
        <w:trPr>
          <w:trHeight w:val="20"/>
        </w:trPr>
        <w:tc>
          <w:tcPr>
            <w:tcW w:w="0" w:type="auto"/>
            <w:tcBorders>
              <w:top w:val="nil"/>
              <w:left w:val="nil"/>
              <w:bottom w:val="nil"/>
              <w:right w:val="nil"/>
            </w:tcBorders>
            <w:shd w:val="clear" w:color="auto" w:fill="auto"/>
            <w:noWrap/>
            <w:vAlign w:val="center"/>
            <w:hideMark/>
          </w:tcPr>
          <w:p w:rsidR="000D4BF4" w:rsidRPr="003D4979" w:rsidRDefault="000D4BF4" w:rsidP="00F044F4">
            <w:pPr>
              <w:overflowPunct/>
              <w:autoSpaceDE/>
              <w:autoSpaceDN/>
              <w:adjustRightInd/>
              <w:textAlignment w:val="auto"/>
            </w:pPr>
            <w:r w:rsidRPr="003D4979">
              <w:t>Income Returns</w:t>
            </w:r>
            <w:r w:rsidR="00E506FD" w:rsidRPr="00E506FD">
              <w:rPr>
                <w:vertAlign w:val="subscript"/>
              </w:rPr>
              <w:t>t-1</w:t>
            </w:r>
          </w:p>
        </w:tc>
        <w:tc>
          <w:tcPr>
            <w:tcW w:w="0" w:type="auto"/>
            <w:tcBorders>
              <w:top w:val="nil"/>
              <w:left w:val="nil"/>
              <w:bottom w:val="nil"/>
              <w:right w:val="nil"/>
            </w:tcBorders>
            <w:shd w:val="clear" w:color="auto" w:fill="auto"/>
            <w:noWrap/>
            <w:vAlign w:val="center"/>
          </w:tcPr>
          <w:p w:rsidR="000D4BF4" w:rsidRPr="0048014D" w:rsidRDefault="000D4BF4" w:rsidP="00F044F4">
            <w:pPr>
              <w:overflowPunct/>
              <w:autoSpaceDE/>
              <w:autoSpaceDN/>
              <w:adjustRightInd/>
              <w:jc w:val="right"/>
              <w:textAlignment w:val="auto"/>
              <w:rPr>
                <w:color w:val="000000"/>
              </w:rPr>
            </w:pPr>
          </w:p>
        </w:tc>
        <w:tc>
          <w:tcPr>
            <w:tcW w:w="0" w:type="auto"/>
            <w:tcBorders>
              <w:top w:val="nil"/>
              <w:left w:val="nil"/>
              <w:bottom w:val="nil"/>
              <w:right w:val="nil"/>
            </w:tcBorders>
            <w:shd w:val="clear" w:color="auto" w:fill="auto"/>
            <w:noWrap/>
            <w:vAlign w:val="bottom"/>
            <w:hideMark/>
          </w:tcPr>
          <w:p w:rsidR="000D4BF4" w:rsidRPr="0048014D" w:rsidRDefault="000D4BF4" w:rsidP="00F044F4">
            <w:pPr>
              <w:overflowPunct/>
              <w:autoSpaceDE/>
              <w:autoSpaceDN/>
              <w:adjustRightInd/>
              <w:textAlignment w:val="auto"/>
              <w:rPr>
                <w:color w:val="000000"/>
                <w:sz w:val="24"/>
                <w:szCs w:val="24"/>
              </w:rPr>
            </w:pPr>
          </w:p>
        </w:tc>
        <w:tc>
          <w:tcPr>
            <w:tcW w:w="0" w:type="auto"/>
            <w:tcBorders>
              <w:top w:val="nil"/>
              <w:left w:val="nil"/>
              <w:bottom w:val="nil"/>
              <w:right w:val="nil"/>
            </w:tcBorders>
            <w:shd w:val="clear" w:color="auto" w:fill="auto"/>
            <w:noWrap/>
            <w:vAlign w:val="center"/>
            <w:hideMark/>
          </w:tcPr>
          <w:p w:rsidR="000D4BF4" w:rsidRPr="0048014D" w:rsidRDefault="000D4BF4" w:rsidP="00F044F4">
            <w:pPr>
              <w:overflowPunct/>
              <w:autoSpaceDE/>
              <w:autoSpaceDN/>
              <w:adjustRightInd/>
              <w:jc w:val="center"/>
              <w:textAlignment w:val="auto"/>
              <w:rPr>
                <w:color w:val="000000"/>
              </w:rPr>
            </w:pPr>
          </w:p>
        </w:tc>
        <w:tc>
          <w:tcPr>
            <w:tcW w:w="0" w:type="auto"/>
            <w:tcBorders>
              <w:top w:val="nil"/>
              <w:left w:val="nil"/>
              <w:bottom w:val="nil"/>
              <w:right w:val="nil"/>
            </w:tcBorders>
            <w:shd w:val="clear" w:color="auto" w:fill="auto"/>
            <w:noWrap/>
            <w:vAlign w:val="center"/>
            <w:hideMark/>
          </w:tcPr>
          <w:p w:rsidR="000D4BF4" w:rsidRPr="0048014D" w:rsidRDefault="000D4BF4" w:rsidP="00F044F4">
            <w:pPr>
              <w:overflowPunct/>
              <w:autoSpaceDE/>
              <w:autoSpaceDN/>
              <w:adjustRightInd/>
              <w:jc w:val="right"/>
              <w:textAlignment w:val="auto"/>
              <w:rPr>
                <w:color w:val="000000"/>
              </w:rPr>
            </w:pPr>
          </w:p>
        </w:tc>
        <w:tc>
          <w:tcPr>
            <w:tcW w:w="0" w:type="auto"/>
            <w:tcBorders>
              <w:top w:val="nil"/>
              <w:left w:val="nil"/>
              <w:bottom w:val="nil"/>
              <w:right w:val="nil"/>
            </w:tcBorders>
            <w:shd w:val="clear" w:color="auto" w:fill="auto"/>
            <w:noWrap/>
            <w:vAlign w:val="bottom"/>
            <w:hideMark/>
          </w:tcPr>
          <w:p w:rsidR="000D4BF4" w:rsidRPr="0048014D" w:rsidRDefault="000D4BF4" w:rsidP="00F044F4">
            <w:pPr>
              <w:overflowPunct/>
              <w:autoSpaceDE/>
              <w:autoSpaceDN/>
              <w:adjustRightInd/>
              <w:textAlignment w:val="auto"/>
              <w:rPr>
                <w:color w:val="000000"/>
                <w:sz w:val="24"/>
                <w:szCs w:val="24"/>
              </w:rPr>
            </w:pPr>
          </w:p>
        </w:tc>
        <w:tc>
          <w:tcPr>
            <w:tcW w:w="0" w:type="auto"/>
            <w:tcBorders>
              <w:top w:val="nil"/>
              <w:left w:val="nil"/>
              <w:bottom w:val="nil"/>
              <w:right w:val="nil"/>
            </w:tcBorders>
            <w:shd w:val="clear" w:color="auto" w:fill="auto"/>
            <w:noWrap/>
            <w:vAlign w:val="center"/>
            <w:hideMark/>
          </w:tcPr>
          <w:p w:rsidR="000D4BF4" w:rsidRPr="0048014D" w:rsidRDefault="000D4BF4" w:rsidP="008F386D">
            <w:pPr>
              <w:overflowPunct/>
              <w:autoSpaceDE/>
              <w:autoSpaceDN/>
              <w:adjustRightInd/>
              <w:textAlignment w:val="auto"/>
              <w:rPr>
                <w:color w:val="000000"/>
              </w:rPr>
            </w:pPr>
          </w:p>
        </w:tc>
        <w:tc>
          <w:tcPr>
            <w:tcW w:w="0" w:type="auto"/>
            <w:tcBorders>
              <w:top w:val="nil"/>
              <w:left w:val="nil"/>
              <w:bottom w:val="nil"/>
              <w:right w:val="nil"/>
            </w:tcBorders>
            <w:shd w:val="clear" w:color="auto" w:fill="auto"/>
            <w:noWrap/>
            <w:vAlign w:val="center"/>
            <w:hideMark/>
          </w:tcPr>
          <w:p w:rsidR="000D4BF4" w:rsidRPr="0048014D" w:rsidRDefault="000D4BF4" w:rsidP="008F386D">
            <w:pPr>
              <w:overflowPunct/>
              <w:autoSpaceDE/>
              <w:autoSpaceDN/>
              <w:adjustRightInd/>
              <w:ind w:right="-110"/>
              <w:jc w:val="right"/>
              <w:textAlignment w:val="auto"/>
              <w:rPr>
                <w:color w:val="000000"/>
              </w:rPr>
            </w:pPr>
            <w:r w:rsidRPr="0048014D">
              <w:rPr>
                <w:color w:val="000000"/>
              </w:rPr>
              <w:t>0.006</w:t>
            </w:r>
          </w:p>
        </w:tc>
        <w:tc>
          <w:tcPr>
            <w:tcW w:w="0" w:type="auto"/>
            <w:tcBorders>
              <w:top w:val="nil"/>
              <w:left w:val="nil"/>
              <w:bottom w:val="nil"/>
              <w:right w:val="nil"/>
            </w:tcBorders>
            <w:shd w:val="clear" w:color="auto" w:fill="auto"/>
            <w:noWrap/>
            <w:vAlign w:val="bottom"/>
            <w:hideMark/>
          </w:tcPr>
          <w:p w:rsidR="000D4BF4" w:rsidRPr="0048014D" w:rsidRDefault="000D4BF4" w:rsidP="00F044F4">
            <w:pPr>
              <w:overflowPunct/>
              <w:autoSpaceDE/>
              <w:autoSpaceDN/>
              <w:adjustRightInd/>
              <w:textAlignment w:val="auto"/>
              <w:rPr>
                <w:color w:val="000000"/>
                <w:sz w:val="24"/>
                <w:szCs w:val="24"/>
              </w:rPr>
            </w:pPr>
          </w:p>
        </w:tc>
        <w:tc>
          <w:tcPr>
            <w:tcW w:w="0" w:type="auto"/>
            <w:tcBorders>
              <w:top w:val="nil"/>
              <w:left w:val="nil"/>
              <w:bottom w:val="nil"/>
              <w:right w:val="nil"/>
            </w:tcBorders>
            <w:shd w:val="clear" w:color="auto" w:fill="auto"/>
            <w:noWrap/>
            <w:vAlign w:val="center"/>
            <w:hideMark/>
          </w:tcPr>
          <w:p w:rsidR="000D4BF4" w:rsidRPr="0048014D" w:rsidRDefault="008F386D" w:rsidP="008F386D">
            <w:pPr>
              <w:overflowPunct/>
              <w:autoSpaceDE/>
              <w:autoSpaceDN/>
              <w:adjustRightInd/>
              <w:textAlignment w:val="auto"/>
              <w:rPr>
                <w:color w:val="000000"/>
              </w:rPr>
            </w:pPr>
            <w:r>
              <w:rPr>
                <w:color w:val="000000"/>
              </w:rPr>
              <w:t>(</w:t>
            </w:r>
            <w:r w:rsidR="000D4BF4" w:rsidRPr="0048014D">
              <w:rPr>
                <w:color w:val="000000"/>
              </w:rPr>
              <w:t>0.1</w:t>
            </w:r>
            <w:r>
              <w:rPr>
                <w:color w:val="000000"/>
              </w:rPr>
              <w:t>)</w:t>
            </w:r>
          </w:p>
        </w:tc>
      </w:tr>
      <w:tr w:rsidR="000D4BF4" w:rsidRPr="0048014D" w:rsidTr="00F044F4">
        <w:trPr>
          <w:trHeight w:val="20"/>
        </w:trPr>
        <w:tc>
          <w:tcPr>
            <w:tcW w:w="0" w:type="auto"/>
            <w:tcBorders>
              <w:top w:val="nil"/>
              <w:left w:val="nil"/>
              <w:bottom w:val="nil"/>
              <w:right w:val="nil"/>
            </w:tcBorders>
            <w:shd w:val="clear" w:color="auto" w:fill="auto"/>
            <w:noWrap/>
            <w:vAlign w:val="center"/>
            <w:hideMark/>
          </w:tcPr>
          <w:p w:rsidR="000D4BF4" w:rsidRPr="003D4979" w:rsidRDefault="000D4BF4" w:rsidP="00666F68">
            <w:pPr>
              <w:overflowPunct/>
              <w:autoSpaceDE/>
              <w:autoSpaceDN/>
              <w:adjustRightInd/>
              <w:spacing w:after="60"/>
              <w:textAlignment w:val="auto"/>
            </w:pPr>
            <w:r w:rsidRPr="003D4979">
              <w:t>CRE Lending Index</w:t>
            </w:r>
            <w:r w:rsidRPr="003D4979">
              <w:rPr>
                <w:b/>
              </w:rPr>
              <w:t>'</w:t>
            </w:r>
            <w:r w:rsidR="00E506FD" w:rsidRPr="00E506FD">
              <w:rPr>
                <w:vertAlign w:val="subscript"/>
              </w:rPr>
              <w:t>t-1</w:t>
            </w:r>
          </w:p>
        </w:tc>
        <w:tc>
          <w:tcPr>
            <w:tcW w:w="0" w:type="auto"/>
            <w:tcBorders>
              <w:top w:val="nil"/>
              <w:left w:val="nil"/>
              <w:bottom w:val="nil"/>
              <w:right w:val="nil"/>
            </w:tcBorders>
            <w:shd w:val="clear" w:color="auto" w:fill="auto"/>
            <w:noWrap/>
            <w:vAlign w:val="center"/>
          </w:tcPr>
          <w:p w:rsidR="000D4BF4" w:rsidRPr="0048014D" w:rsidRDefault="000D4BF4" w:rsidP="00666F68">
            <w:pPr>
              <w:overflowPunct/>
              <w:autoSpaceDE/>
              <w:autoSpaceDN/>
              <w:adjustRightInd/>
              <w:spacing w:after="60"/>
              <w:jc w:val="right"/>
              <w:textAlignment w:val="auto"/>
              <w:rPr>
                <w:color w:val="000000"/>
              </w:rPr>
            </w:pPr>
          </w:p>
        </w:tc>
        <w:tc>
          <w:tcPr>
            <w:tcW w:w="0" w:type="auto"/>
            <w:tcBorders>
              <w:top w:val="nil"/>
              <w:left w:val="nil"/>
              <w:bottom w:val="nil"/>
              <w:right w:val="nil"/>
            </w:tcBorders>
            <w:shd w:val="clear" w:color="auto" w:fill="auto"/>
            <w:noWrap/>
            <w:vAlign w:val="bottom"/>
            <w:hideMark/>
          </w:tcPr>
          <w:p w:rsidR="000D4BF4" w:rsidRPr="0048014D" w:rsidRDefault="000D4BF4" w:rsidP="00666F68">
            <w:pPr>
              <w:overflowPunct/>
              <w:autoSpaceDE/>
              <w:autoSpaceDN/>
              <w:adjustRightInd/>
              <w:spacing w:after="60"/>
              <w:textAlignment w:val="auto"/>
              <w:rPr>
                <w:color w:val="000000"/>
                <w:sz w:val="24"/>
                <w:szCs w:val="24"/>
              </w:rPr>
            </w:pPr>
          </w:p>
        </w:tc>
        <w:tc>
          <w:tcPr>
            <w:tcW w:w="0" w:type="auto"/>
            <w:tcBorders>
              <w:top w:val="nil"/>
              <w:left w:val="nil"/>
              <w:bottom w:val="nil"/>
              <w:right w:val="nil"/>
            </w:tcBorders>
            <w:shd w:val="clear" w:color="auto" w:fill="auto"/>
            <w:noWrap/>
            <w:vAlign w:val="center"/>
            <w:hideMark/>
          </w:tcPr>
          <w:p w:rsidR="000D4BF4" w:rsidRPr="0048014D" w:rsidRDefault="000D4BF4" w:rsidP="00666F68">
            <w:pPr>
              <w:overflowPunct/>
              <w:autoSpaceDE/>
              <w:autoSpaceDN/>
              <w:adjustRightInd/>
              <w:spacing w:after="60"/>
              <w:jc w:val="center"/>
              <w:textAlignment w:val="auto"/>
              <w:rPr>
                <w:color w:val="000000"/>
              </w:rPr>
            </w:pPr>
          </w:p>
        </w:tc>
        <w:tc>
          <w:tcPr>
            <w:tcW w:w="0" w:type="auto"/>
            <w:tcBorders>
              <w:top w:val="nil"/>
              <w:left w:val="nil"/>
              <w:bottom w:val="nil"/>
              <w:right w:val="nil"/>
            </w:tcBorders>
            <w:shd w:val="clear" w:color="auto" w:fill="auto"/>
            <w:noWrap/>
            <w:vAlign w:val="center"/>
            <w:hideMark/>
          </w:tcPr>
          <w:p w:rsidR="000D4BF4" w:rsidRPr="0048014D" w:rsidRDefault="000D4BF4" w:rsidP="00666F68">
            <w:pPr>
              <w:overflowPunct/>
              <w:autoSpaceDE/>
              <w:autoSpaceDN/>
              <w:adjustRightInd/>
              <w:spacing w:after="60"/>
              <w:jc w:val="right"/>
              <w:textAlignment w:val="auto"/>
              <w:rPr>
                <w:color w:val="000000"/>
              </w:rPr>
            </w:pPr>
          </w:p>
        </w:tc>
        <w:tc>
          <w:tcPr>
            <w:tcW w:w="0" w:type="auto"/>
            <w:tcBorders>
              <w:top w:val="nil"/>
              <w:left w:val="nil"/>
              <w:bottom w:val="nil"/>
              <w:right w:val="nil"/>
            </w:tcBorders>
            <w:shd w:val="clear" w:color="auto" w:fill="auto"/>
            <w:noWrap/>
            <w:vAlign w:val="bottom"/>
            <w:hideMark/>
          </w:tcPr>
          <w:p w:rsidR="000D4BF4" w:rsidRPr="0048014D" w:rsidRDefault="000D4BF4" w:rsidP="00666F68">
            <w:pPr>
              <w:overflowPunct/>
              <w:autoSpaceDE/>
              <w:autoSpaceDN/>
              <w:adjustRightInd/>
              <w:spacing w:after="60"/>
              <w:textAlignment w:val="auto"/>
              <w:rPr>
                <w:color w:val="000000"/>
                <w:sz w:val="24"/>
                <w:szCs w:val="24"/>
              </w:rPr>
            </w:pPr>
          </w:p>
        </w:tc>
        <w:tc>
          <w:tcPr>
            <w:tcW w:w="0" w:type="auto"/>
            <w:tcBorders>
              <w:top w:val="nil"/>
              <w:left w:val="nil"/>
              <w:bottom w:val="nil"/>
              <w:right w:val="nil"/>
            </w:tcBorders>
            <w:shd w:val="clear" w:color="auto" w:fill="auto"/>
            <w:noWrap/>
            <w:vAlign w:val="center"/>
            <w:hideMark/>
          </w:tcPr>
          <w:p w:rsidR="000D4BF4" w:rsidRPr="0048014D" w:rsidRDefault="000D4BF4" w:rsidP="00666F68">
            <w:pPr>
              <w:overflowPunct/>
              <w:autoSpaceDE/>
              <w:autoSpaceDN/>
              <w:adjustRightInd/>
              <w:spacing w:after="60"/>
              <w:jc w:val="center"/>
              <w:textAlignment w:val="auto"/>
              <w:rPr>
                <w:color w:val="000000"/>
              </w:rPr>
            </w:pPr>
          </w:p>
        </w:tc>
        <w:tc>
          <w:tcPr>
            <w:tcW w:w="0" w:type="auto"/>
            <w:tcBorders>
              <w:top w:val="nil"/>
              <w:left w:val="nil"/>
              <w:bottom w:val="nil"/>
              <w:right w:val="nil"/>
            </w:tcBorders>
            <w:shd w:val="clear" w:color="auto" w:fill="auto"/>
            <w:noWrap/>
            <w:vAlign w:val="center"/>
            <w:hideMark/>
          </w:tcPr>
          <w:p w:rsidR="000D4BF4" w:rsidRPr="0048014D" w:rsidRDefault="000D4BF4" w:rsidP="00666F68">
            <w:pPr>
              <w:overflowPunct/>
              <w:autoSpaceDE/>
              <w:autoSpaceDN/>
              <w:adjustRightInd/>
              <w:spacing w:after="60"/>
              <w:ind w:right="-110"/>
              <w:jc w:val="right"/>
              <w:textAlignment w:val="auto"/>
              <w:rPr>
                <w:color w:val="000000"/>
              </w:rPr>
            </w:pPr>
            <w:r w:rsidRPr="0048014D">
              <w:rPr>
                <w:color w:val="000000"/>
              </w:rPr>
              <w:t>-0.105</w:t>
            </w:r>
          </w:p>
        </w:tc>
        <w:tc>
          <w:tcPr>
            <w:tcW w:w="0" w:type="auto"/>
            <w:tcBorders>
              <w:top w:val="nil"/>
              <w:left w:val="nil"/>
              <w:bottom w:val="nil"/>
              <w:right w:val="nil"/>
            </w:tcBorders>
            <w:shd w:val="clear" w:color="auto" w:fill="auto"/>
            <w:noWrap/>
            <w:vAlign w:val="bottom"/>
            <w:hideMark/>
          </w:tcPr>
          <w:p w:rsidR="000D4BF4" w:rsidRPr="0048014D" w:rsidRDefault="000D4BF4" w:rsidP="00666F68">
            <w:pPr>
              <w:overflowPunct/>
              <w:autoSpaceDE/>
              <w:autoSpaceDN/>
              <w:adjustRightInd/>
              <w:spacing w:after="60"/>
              <w:textAlignment w:val="auto"/>
              <w:rPr>
                <w:color w:val="000000"/>
                <w:sz w:val="24"/>
                <w:szCs w:val="24"/>
              </w:rPr>
            </w:pPr>
          </w:p>
        </w:tc>
        <w:tc>
          <w:tcPr>
            <w:tcW w:w="0" w:type="auto"/>
            <w:tcBorders>
              <w:top w:val="nil"/>
              <w:left w:val="nil"/>
              <w:bottom w:val="nil"/>
              <w:right w:val="nil"/>
            </w:tcBorders>
            <w:shd w:val="clear" w:color="auto" w:fill="auto"/>
            <w:noWrap/>
            <w:vAlign w:val="center"/>
            <w:hideMark/>
          </w:tcPr>
          <w:p w:rsidR="000D4BF4" w:rsidRPr="0048014D" w:rsidRDefault="008F386D" w:rsidP="00666F68">
            <w:pPr>
              <w:overflowPunct/>
              <w:autoSpaceDE/>
              <w:autoSpaceDN/>
              <w:adjustRightInd/>
              <w:spacing w:after="60"/>
              <w:textAlignment w:val="auto"/>
              <w:rPr>
                <w:color w:val="000000"/>
              </w:rPr>
            </w:pPr>
            <w:r>
              <w:rPr>
                <w:color w:val="000000"/>
              </w:rPr>
              <w:t>(</w:t>
            </w:r>
            <w:r w:rsidR="000D4BF4" w:rsidRPr="0048014D">
              <w:rPr>
                <w:color w:val="000000"/>
              </w:rPr>
              <w:t>-1.4</w:t>
            </w:r>
            <w:r>
              <w:rPr>
                <w:color w:val="000000"/>
              </w:rPr>
              <w:t>)</w:t>
            </w:r>
          </w:p>
        </w:tc>
      </w:tr>
      <w:tr w:rsidR="000D4BF4" w:rsidRPr="0048014D" w:rsidTr="00F044F4">
        <w:trPr>
          <w:trHeight w:val="20"/>
        </w:trPr>
        <w:tc>
          <w:tcPr>
            <w:tcW w:w="0" w:type="auto"/>
            <w:gridSpan w:val="4"/>
            <w:tcBorders>
              <w:top w:val="single" w:sz="12" w:space="0" w:color="auto"/>
              <w:left w:val="nil"/>
              <w:bottom w:val="nil"/>
              <w:right w:val="nil"/>
            </w:tcBorders>
            <w:shd w:val="clear" w:color="auto" w:fill="auto"/>
            <w:noWrap/>
            <w:vAlign w:val="center"/>
            <w:hideMark/>
          </w:tcPr>
          <w:p w:rsidR="000D4BF4" w:rsidRPr="0048014D" w:rsidRDefault="000D4BF4" w:rsidP="00666F68">
            <w:pPr>
              <w:overflowPunct/>
              <w:autoSpaceDE/>
              <w:autoSpaceDN/>
              <w:adjustRightInd/>
              <w:spacing w:before="80"/>
              <w:textAlignment w:val="auto"/>
              <w:rPr>
                <w:b/>
                <w:bCs/>
                <w:color w:val="000000"/>
              </w:rPr>
            </w:pPr>
            <w:r w:rsidRPr="0048014D">
              <w:rPr>
                <w:b/>
                <w:bCs/>
                <w:color w:val="000000"/>
              </w:rPr>
              <w:t xml:space="preserve">Panel B. </w:t>
            </w:r>
            <w:r w:rsidRPr="0048014D">
              <w:rPr>
                <w:color w:val="000000"/>
              </w:rPr>
              <w:t xml:space="preserve"> Variance decomposition</w:t>
            </w:r>
            <w:r w:rsidR="00F244ED">
              <w:rPr>
                <w:color w:val="000000"/>
              </w:rPr>
              <w:t>s</w:t>
            </w:r>
          </w:p>
        </w:tc>
        <w:tc>
          <w:tcPr>
            <w:tcW w:w="0" w:type="auto"/>
            <w:gridSpan w:val="3"/>
            <w:tcBorders>
              <w:top w:val="single" w:sz="12" w:space="0" w:color="auto"/>
              <w:left w:val="nil"/>
              <w:bottom w:val="nil"/>
              <w:right w:val="nil"/>
            </w:tcBorders>
            <w:shd w:val="clear" w:color="auto" w:fill="auto"/>
            <w:noWrap/>
            <w:vAlign w:val="center"/>
            <w:hideMark/>
          </w:tcPr>
          <w:p w:rsidR="000D4BF4" w:rsidRPr="0048014D" w:rsidRDefault="000D4BF4" w:rsidP="00F044F4">
            <w:pPr>
              <w:overflowPunct/>
              <w:autoSpaceDE/>
              <w:autoSpaceDN/>
              <w:adjustRightInd/>
              <w:textAlignment w:val="auto"/>
              <w:rPr>
                <w:b/>
                <w:bCs/>
                <w:color w:val="000000"/>
              </w:rPr>
            </w:pPr>
            <w:r w:rsidRPr="0048014D">
              <w:rPr>
                <w:b/>
                <w:bCs/>
                <w:color w:val="000000"/>
              </w:rPr>
              <w:t> </w:t>
            </w:r>
          </w:p>
        </w:tc>
        <w:tc>
          <w:tcPr>
            <w:tcW w:w="0" w:type="auto"/>
            <w:gridSpan w:val="3"/>
            <w:tcBorders>
              <w:top w:val="single" w:sz="12" w:space="0" w:color="auto"/>
              <w:left w:val="nil"/>
              <w:bottom w:val="nil"/>
              <w:right w:val="nil"/>
            </w:tcBorders>
            <w:shd w:val="clear" w:color="auto" w:fill="auto"/>
            <w:noWrap/>
            <w:vAlign w:val="center"/>
            <w:hideMark/>
          </w:tcPr>
          <w:p w:rsidR="000D4BF4" w:rsidRPr="0048014D" w:rsidRDefault="000D4BF4" w:rsidP="00F044F4">
            <w:pPr>
              <w:overflowPunct/>
              <w:autoSpaceDE/>
              <w:autoSpaceDN/>
              <w:adjustRightInd/>
              <w:textAlignment w:val="auto"/>
              <w:rPr>
                <w:b/>
                <w:bCs/>
                <w:color w:val="000000"/>
              </w:rPr>
            </w:pPr>
            <w:r w:rsidRPr="0048014D">
              <w:rPr>
                <w:b/>
                <w:bCs/>
                <w:color w:val="000000"/>
              </w:rPr>
              <w:t> </w:t>
            </w:r>
          </w:p>
        </w:tc>
      </w:tr>
      <w:tr w:rsidR="00666F68" w:rsidRPr="0048014D" w:rsidTr="00F044F4">
        <w:trPr>
          <w:trHeight w:val="20"/>
        </w:trPr>
        <w:tc>
          <w:tcPr>
            <w:tcW w:w="0" w:type="auto"/>
            <w:tcBorders>
              <w:top w:val="nil"/>
              <w:left w:val="nil"/>
              <w:bottom w:val="nil"/>
              <w:right w:val="nil"/>
            </w:tcBorders>
            <w:shd w:val="clear" w:color="auto" w:fill="auto"/>
            <w:noWrap/>
            <w:vAlign w:val="center"/>
          </w:tcPr>
          <w:p w:rsidR="00666F68" w:rsidRPr="00666F68" w:rsidRDefault="00666F68" w:rsidP="00666F68">
            <w:pPr>
              <w:overflowPunct/>
              <w:autoSpaceDE/>
              <w:autoSpaceDN/>
              <w:adjustRightInd/>
              <w:spacing w:before="20" w:after="20"/>
              <w:jc w:val="right"/>
              <w:textAlignment w:val="auto"/>
              <w:rPr>
                <w:iCs/>
                <w:color w:val="000000"/>
              </w:rPr>
            </w:pPr>
            <w:r>
              <w:rPr>
                <w:iCs/>
                <w:color w:val="000000"/>
              </w:rPr>
              <w:t>Alternate:</w:t>
            </w:r>
          </w:p>
        </w:tc>
        <w:tc>
          <w:tcPr>
            <w:tcW w:w="0" w:type="auto"/>
            <w:gridSpan w:val="3"/>
            <w:tcBorders>
              <w:top w:val="nil"/>
              <w:left w:val="nil"/>
              <w:bottom w:val="nil"/>
              <w:right w:val="nil"/>
            </w:tcBorders>
            <w:shd w:val="clear" w:color="auto" w:fill="auto"/>
            <w:noWrap/>
            <w:vAlign w:val="center"/>
          </w:tcPr>
          <w:p w:rsidR="00666F68" w:rsidRPr="00666F68" w:rsidRDefault="00666F68" w:rsidP="00666F68">
            <w:pPr>
              <w:overflowPunct/>
              <w:autoSpaceDE/>
              <w:autoSpaceDN/>
              <w:adjustRightInd/>
              <w:spacing w:before="20" w:after="20"/>
              <w:jc w:val="center"/>
              <w:textAlignment w:val="auto"/>
              <w:rPr>
                <w:b/>
                <w:iCs/>
                <w:color w:val="000000"/>
              </w:rPr>
            </w:pPr>
            <w:r w:rsidRPr="00666F68">
              <w:rPr>
                <w:b/>
                <w:iCs/>
                <w:color w:val="000000"/>
              </w:rPr>
              <w:t>I</w:t>
            </w:r>
          </w:p>
        </w:tc>
        <w:tc>
          <w:tcPr>
            <w:tcW w:w="0" w:type="auto"/>
            <w:gridSpan w:val="3"/>
            <w:tcBorders>
              <w:top w:val="nil"/>
              <w:left w:val="nil"/>
              <w:bottom w:val="nil"/>
              <w:right w:val="nil"/>
            </w:tcBorders>
            <w:shd w:val="clear" w:color="auto" w:fill="auto"/>
            <w:noWrap/>
            <w:vAlign w:val="center"/>
          </w:tcPr>
          <w:p w:rsidR="00666F68" w:rsidRPr="00666F68" w:rsidRDefault="00666F68" w:rsidP="00666F68">
            <w:pPr>
              <w:overflowPunct/>
              <w:autoSpaceDE/>
              <w:autoSpaceDN/>
              <w:adjustRightInd/>
              <w:spacing w:before="20" w:after="20"/>
              <w:jc w:val="center"/>
              <w:textAlignment w:val="auto"/>
              <w:rPr>
                <w:b/>
                <w:iCs/>
                <w:color w:val="000000"/>
              </w:rPr>
            </w:pPr>
            <w:r w:rsidRPr="00666F68">
              <w:rPr>
                <w:b/>
                <w:iCs/>
                <w:color w:val="000000"/>
              </w:rPr>
              <w:t>II</w:t>
            </w:r>
          </w:p>
        </w:tc>
        <w:tc>
          <w:tcPr>
            <w:tcW w:w="0" w:type="auto"/>
            <w:gridSpan w:val="3"/>
            <w:tcBorders>
              <w:top w:val="nil"/>
              <w:left w:val="nil"/>
              <w:bottom w:val="nil"/>
              <w:right w:val="nil"/>
            </w:tcBorders>
            <w:shd w:val="clear" w:color="auto" w:fill="auto"/>
            <w:noWrap/>
            <w:vAlign w:val="center"/>
          </w:tcPr>
          <w:p w:rsidR="00666F68" w:rsidRPr="00666F68" w:rsidRDefault="00666F68" w:rsidP="00666F68">
            <w:pPr>
              <w:overflowPunct/>
              <w:autoSpaceDE/>
              <w:autoSpaceDN/>
              <w:adjustRightInd/>
              <w:spacing w:before="20" w:after="20"/>
              <w:jc w:val="center"/>
              <w:textAlignment w:val="auto"/>
              <w:rPr>
                <w:b/>
                <w:iCs/>
                <w:color w:val="000000"/>
              </w:rPr>
            </w:pPr>
            <w:r w:rsidRPr="00666F68">
              <w:rPr>
                <w:b/>
                <w:iCs/>
                <w:color w:val="000000"/>
              </w:rPr>
              <w:t>III</w:t>
            </w:r>
          </w:p>
        </w:tc>
      </w:tr>
      <w:tr w:rsidR="000D4BF4" w:rsidRPr="0048014D" w:rsidTr="00F044F4">
        <w:trPr>
          <w:trHeight w:val="20"/>
        </w:trPr>
        <w:tc>
          <w:tcPr>
            <w:tcW w:w="0" w:type="auto"/>
            <w:tcBorders>
              <w:top w:val="nil"/>
              <w:left w:val="nil"/>
              <w:bottom w:val="nil"/>
              <w:right w:val="nil"/>
            </w:tcBorders>
            <w:shd w:val="clear" w:color="auto" w:fill="auto"/>
            <w:noWrap/>
            <w:vAlign w:val="center"/>
            <w:hideMark/>
          </w:tcPr>
          <w:p w:rsidR="000D4BF4" w:rsidRPr="0048014D" w:rsidRDefault="000D4BF4" w:rsidP="00F044F4">
            <w:pPr>
              <w:overflowPunct/>
              <w:autoSpaceDE/>
              <w:autoSpaceDN/>
              <w:adjustRightInd/>
              <w:jc w:val="right"/>
              <w:textAlignment w:val="auto"/>
              <w:rPr>
                <w:i/>
                <w:iCs/>
                <w:color w:val="000000"/>
              </w:rPr>
            </w:pPr>
            <w:r w:rsidRPr="0048014D">
              <w:rPr>
                <w:i/>
                <w:iCs/>
                <w:color w:val="000000"/>
              </w:rPr>
              <w:t>Variance of:</w:t>
            </w:r>
          </w:p>
        </w:tc>
        <w:tc>
          <w:tcPr>
            <w:tcW w:w="0" w:type="auto"/>
            <w:gridSpan w:val="3"/>
            <w:tcBorders>
              <w:top w:val="nil"/>
              <w:left w:val="nil"/>
              <w:bottom w:val="nil"/>
              <w:right w:val="nil"/>
            </w:tcBorders>
            <w:shd w:val="clear" w:color="auto" w:fill="auto"/>
            <w:noWrap/>
            <w:vAlign w:val="center"/>
            <w:hideMark/>
          </w:tcPr>
          <w:p w:rsidR="000D4BF4" w:rsidRPr="0048014D" w:rsidRDefault="000D4BF4" w:rsidP="00F044F4">
            <w:pPr>
              <w:overflowPunct/>
              <w:autoSpaceDE/>
              <w:autoSpaceDN/>
              <w:adjustRightInd/>
              <w:jc w:val="center"/>
              <w:textAlignment w:val="auto"/>
              <w:rPr>
                <w:i/>
                <w:iCs/>
                <w:color w:val="000000"/>
              </w:rPr>
            </w:pPr>
            <w:r w:rsidRPr="0048014D">
              <w:rPr>
                <w:i/>
                <w:iCs/>
                <w:color w:val="000000"/>
              </w:rPr>
              <w:t>Capital Gains</w:t>
            </w:r>
          </w:p>
        </w:tc>
        <w:tc>
          <w:tcPr>
            <w:tcW w:w="0" w:type="auto"/>
            <w:gridSpan w:val="3"/>
            <w:tcBorders>
              <w:top w:val="nil"/>
              <w:left w:val="nil"/>
              <w:bottom w:val="nil"/>
              <w:right w:val="nil"/>
            </w:tcBorders>
            <w:shd w:val="clear" w:color="auto" w:fill="auto"/>
            <w:noWrap/>
            <w:vAlign w:val="center"/>
            <w:hideMark/>
          </w:tcPr>
          <w:p w:rsidR="000D4BF4" w:rsidRPr="0048014D" w:rsidRDefault="000D4BF4" w:rsidP="00F044F4">
            <w:pPr>
              <w:overflowPunct/>
              <w:autoSpaceDE/>
              <w:autoSpaceDN/>
              <w:adjustRightInd/>
              <w:jc w:val="center"/>
              <w:textAlignment w:val="auto"/>
              <w:rPr>
                <w:i/>
                <w:iCs/>
                <w:color w:val="000000"/>
              </w:rPr>
            </w:pPr>
            <w:r w:rsidRPr="0048014D">
              <w:rPr>
                <w:i/>
                <w:iCs/>
                <w:color w:val="000000"/>
              </w:rPr>
              <w:t>Capital Gains</w:t>
            </w:r>
          </w:p>
        </w:tc>
        <w:tc>
          <w:tcPr>
            <w:tcW w:w="0" w:type="auto"/>
            <w:gridSpan w:val="3"/>
            <w:tcBorders>
              <w:top w:val="nil"/>
              <w:left w:val="nil"/>
              <w:bottom w:val="nil"/>
              <w:right w:val="nil"/>
            </w:tcBorders>
            <w:shd w:val="clear" w:color="auto" w:fill="auto"/>
            <w:noWrap/>
            <w:vAlign w:val="center"/>
            <w:hideMark/>
          </w:tcPr>
          <w:p w:rsidR="000D4BF4" w:rsidRPr="0048014D" w:rsidRDefault="000D4BF4" w:rsidP="00F044F4">
            <w:pPr>
              <w:overflowPunct/>
              <w:autoSpaceDE/>
              <w:autoSpaceDN/>
              <w:adjustRightInd/>
              <w:jc w:val="center"/>
              <w:textAlignment w:val="auto"/>
              <w:rPr>
                <w:i/>
                <w:iCs/>
                <w:color w:val="000000"/>
              </w:rPr>
            </w:pPr>
            <w:r w:rsidRPr="0048014D">
              <w:rPr>
                <w:i/>
                <w:iCs/>
                <w:color w:val="000000"/>
              </w:rPr>
              <w:t>Capital Gains</w:t>
            </w:r>
          </w:p>
        </w:tc>
      </w:tr>
      <w:tr w:rsidR="000D4BF4" w:rsidRPr="0048014D" w:rsidTr="00F044F4">
        <w:trPr>
          <w:trHeight w:val="20"/>
        </w:trPr>
        <w:tc>
          <w:tcPr>
            <w:tcW w:w="0" w:type="auto"/>
            <w:tcBorders>
              <w:top w:val="nil"/>
              <w:left w:val="nil"/>
              <w:bottom w:val="double" w:sz="6" w:space="0" w:color="auto"/>
              <w:right w:val="nil"/>
            </w:tcBorders>
            <w:shd w:val="clear" w:color="auto" w:fill="auto"/>
            <w:noWrap/>
            <w:vAlign w:val="center"/>
            <w:hideMark/>
          </w:tcPr>
          <w:p w:rsidR="000D4BF4" w:rsidRPr="0048014D" w:rsidRDefault="000D4BF4" w:rsidP="00F044F4">
            <w:pPr>
              <w:overflowPunct/>
              <w:autoSpaceDE/>
              <w:autoSpaceDN/>
              <w:adjustRightInd/>
              <w:jc w:val="right"/>
              <w:textAlignment w:val="auto"/>
              <w:rPr>
                <w:color w:val="000000"/>
              </w:rPr>
            </w:pPr>
            <w:r w:rsidRPr="0048014D">
              <w:rPr>
                <w:color w:val="000000"/>
              </w:rPr>
              <w:t>Forecast period:</w:t>
            </w:r>
          </w:p>
        </w:tc>
        <w:tc>
          <w:tcPr>
            <w:tcW w:w="0" w:type="auto"/>
            <w:tcBorders>
              <w:top w:val="nil"/>
              <w:left w:val="nil"/>
              <w:bottom w:val="double" w:sz="6" w:space="0" w:color="auto"/>
              <w:right w:val="nil"/>
            </w:tcBorders>
            <w:shd w:val="clear" w:color="auto" w:fill="auto"/>
            <w:noWrap/>
            <w:vAlign w:val="center"/>
            <w:hideMark/>
          </w:tcPr>
          <w:p w:rsidR="000D4BF4" w:rsidRPr="0048014D" w:rsidRDefault="000D4BF4" w:rsidP="00F044F4">
            <w:pPr>
              <w:overflowPunct/>
              <w:autoSpaceDE/>
              <w:autoSpaceDN/>
              <w:adjustRightInd/>
              <w:jc w:val="center"/>
              <w:textAlignment w:val="auto"/>
              <w:rPr>
                <w:color w:val="000000"/>
              </w:rPr>
            </w:pPr>
            <w:r w:rsidRPr="0048014D">
              <w:rPr>
                <w:color w:val="000000"/>
              </w:rPr>
              <w:t>4</w:t>
            </w:r>
          </w:p>
        </w:tc>
        <w:tc>
          <w:tcPr>
            <w:tcW w:w="0" w:type="auto"/>
            <w:tcBorders>
              <w:top w:val="nil"/>
              <w:left w:val="nil"/>
              <w:bottom w:val="double" w:sz="6" w:space="0" w:color="auto"/>
              <w:right w:val="nil"/>
            </w:tcBorders>
            <w:shd w:val="clear" w:color="auto" w:fill="auto"/>
            <w:noWrap/>
            <w:vAlign w:val="center"/>
            <w:hideMark/>
          </w:tcPr>
          <w:p w:rsidR="000D4BF4" w:rsidRPr="0048014D" w:rsidRDefault="000D4BF4" w:rsidP="00F044F4">
            <w:pPr>
              <w:overflowPunct/>
              <w:autoSpaceDE/>
              <w:autoSpaceDN/>
              <w:adjustRightInd/>
              <w:jc w:val="center"/>
              <w:textAlignment w:val="auto"/>
              <w:rPr>
                <w:color w:val="000000"/>
              </w:rPr>
            </w:pPr>
            <w:r w:rsidRPr="0048014D">
              <w:rPr>
                <w:color w:val="000000"/>
              </w:rPr>
              <w:t>8</w:t>
            </w:r>
          </w:p>
        </w:tc>
        <w:tc>
          <w:tcPr>
            <w:tcW w:w="0" w:type="auto"/>
            <w:tcBorders>
              <w:top w:val="nil"/>
              <w:left w:val="nil"/>
              <w:bottom w:val="double" w:sz="6" w:space="0" w:color="auto"/>
              <w:right w:val="nil"/>
            </w:tcBorders>
            <w:shd w:val="clear" w:color="auto" w:fill="auto"/>
            <w:noWrap/>
            <w:vAlign w:val="center"/>
            <w:hideMark/>
          </w:tcPr>
          <w:p w:rsidR="000D4BF4" w:rsidRPr="0048014D" w:rsidRDefault="00376920" w:rsidP="00376920">
            <w:pPr>
              <w:overflowPunct/>
              <w:autoSpaceDE/>
              <w:autoSpaceDN/>
              <w:adjustRightInd/>
              <w:textAlignment w:val="auto"/>
              <w:rPr>
                <w:color w:val="000000"/>
              </w:rPr>
            </w:pPr>
            <w:r>
              <w:rPr>
                <w:color w:val="000000"/>
              </w:rPr>
              <w:t xml:space="preserve">  </w:t>
            </w:r>
            <w:r w:rsidR="000D4BF4" w:rsidRPr="0048014D">
              <w:rPr>
                <w:color w:val="000000"/>
              </w:rPr>
              <w:t>12</w:t>
            </w:r>
          </w:p>
        </w:tc>
        <w:tc>
          <w:tcPr>
            <w:tcW w:w="0" w:type="auto"/>
            <w:tcBorders>
              <w:top w:val="nil"/>
              <w:left w:val="nil"/>
              <w:bottom w:val="double" w:sz="6" w:space="0" w:color="auto"/>
              <w:right w:val="nil"/>
            </w:tcBorders>
            <w:shd w:val="clear" w:color="auto" w:fill="auto"/>
            <w:noWrap/>
            <w:vAlign w:val="center"/>
            <w:hideMark/>
          </w:tcPr>
          <w:p w:rsidR="000D4BF4" w:rsidRPr="0048014D" w:rsidRDefault="000D4BF4" w:rsidP="00F044F4">
            <w:pPr>
              <w:overflowPunct/>
              <w:autoSpaceDE/>
              <w:autoSpaceDN/>
              <w:adjustRightInd/>
              <w:jc w:val="center"/>
              <w:textAlignment w:val="auto"/>
              <w:rPr>
                <w:color w:val="000000"/>
              </w:rPr>
            </w:pPr>
            <w:r w:rsidRPr="0048014D">
              <w:rPr>
                <w:color w:val="000000"/>
              </w:rPr>
              <w:t>4</w:t>
            </w:r>
          </w:p>
        </w:tc>
        <w:tc>
          <w:tcPr>
            <w:tcW w:w="0" w:type="auto"/>
            <w:tcBorders>
              <w:top w:val="nil"/>
              <w:left w:val="nil"/>
              <w:bottom w:val="double" w:sz="6" w:space="0" w:color="auto"/>
              <w:right w:val="nil"/>
            </w:tcBorders>
            <w:shd w:val="clear" w:color="auto" w:fill="auto"/>
            <w:noWrap/>
            <w:vAlign w:val="center"/>
            <w:hideMark/>
          </w:tcPr>
          <w:p w:rsidR="000D4BF4" w:rsidRPr="0048014D" w:rsidRDefault="000D4BF4" w:rsidP="00F044F4">
            <w:pPr>
              <w:overflowPunct/>
              <w:autoSpaceDE/>
              <w:autoSpaceDN/>
              <w:adjustRightInd/>
              <w:jc w:val="center"/>
              <w:textAlignment w:val="auto"/>
              <w:rPr>
                <w:color w:val="000000"/>
              </w:rPr>
            </w:pPr>
            <w:r w:rsidRPr="0048014D">
              <w:rPr>
                <w:color w:val="000000"/>
              </w:rPr>
              <w:t>8</w:t>
            </w:r>
          </w:p>
        </w:tc>
        <w:tc>
          <w:tcPr>
            <w:tcW w:w="0" w:type="auto"/>
            <w:tcBorders>
              <w:top w:val="nil"/>
              <w:left w:val="nil"/>
              <w:bottom w:val="double" w:sz="6" w:space="0" w:color="auto"/>
              <w:right w:val="nil"/>
            </w:tcBorders>
            <w:shd w:val="clear" w:color="auto" w:fill="auto"/>
            <w:noWrap/>
            <w:vAlign w:val="center"/>
            <w:hideMark/>
          </w:tcPr>
          <w:p w:rsidR="000D4BF4" w:rsidRPr="0048014D" w:rsidRDefault="00376920" w:rsidP="00376920">
            <w:pPr>
              <w:overflowPunct/>
              <w:autoSpaceDE/>
              <w:autoSpaceDN/>
              <w:adjustRightInd/>
              <w:textAlignment w:val="auto"/>
              <w:rPr>
                <w:color w:val="000000"/>
              </w:rPr>
            </w:pPr>
            <w:r>
              <w:rPr>
                <w:color w:val="000000"/>
              </w:rPr>
              <w:t xml:space="preserve"> </w:t>
            </w:r>
            <w:r w:rsidR="000D4BF4" w:rsidRPr="0048014D">
              <w:rPr>
                <w:color w:val="000000"/>
              </w:rPr>
              <w:t>12</w:t>
            </w:r>
          </w:p>
        </w:tc>
        <w:tc>
          <w:tcPr>
            <w:tcW w:w="0" w:type="auto"/>
            <w:tcBorders>
              <w:top w:val="nil"/>
              <w:left w:val="nil"/>
              <w:bottom w:val="double" w:sz="6" w:space="0" w:color="auto"/>
              <w:right w:val="nil"/>
            </w:tcBorders>
            <w:shd w:val="clear" w:color="auto" w:fill="auto"/>
            <w:noWrap/>
            <w:vAlign w:val="center"/>
            <w:hideMark/>
          </w:tcPr>
          <w:p w:rsidR="000D4BF4" w:rsidRPr="0048014D" w:rsidRDefault="000D4BF4" w:rsidP="00F044F4">
            <w:pPr>
              <w:overflowPunct/>
              <w:autoSpaceDE/>
              <w:autoSpaceDN/>
              <w:adjustRightInd/>
              <w:jc w:val="center"/>
              <w:textAlignment w:val="auto"/>
              <w:rPr>
                <w:color w:val="000000"/>
              </w:rPr>
            </w:pPr>
            <w:r w:rsidRPr="0048014D">
              <w:rPr>
                <w:color w:val="000000"/>
              </w:rPr>
              <w:t>4</w:t>
            </w:r>
          </w:p>
        </w:tc>
        <w:tc>
          <w:tcPr>
            <w:tcW w:w="0" w:type="auto"/>
            <w:tcBorders>
              <w:top w:val="nil"/>
              <w:left w:val="nil"/>
              <w:bottom w:val="double" w:sz="6" w:space="0" w:color="auto"/>
              <w:right w:val="nil"/>
            </w:tcBorders>
            <w:shd w:val="clear" w:color="auto" w:fill="auto"/>
            <w:noWrap/>
            <w:vAlign w:val="center"/>
            <w:hideMark/>
          </w:tcPr>
          <w:p w:rsidR="000D4BF4" w:rsidRPr="0048014D" w:rsidRDefault="000D4BF4" w:rsidP="00F044F4">
            <w:pPr>
              <w:overflowPunct/>
              <w:autoSpaceDE/>
              <w:autoSpaceDN/>
              <w:adjustRightInd/>
              <w:jc w:val="center"/>
              <w:textAlignment w:val="auto"/>
              <w:rPr>
                <w:color w:val="000000"/>
              </w:rPr>
            </w:pPr>
            <w:r w:rsidRPr="0048014D">
              <w:rPr>
                <w:color w:val="000000"/>
              </w:rPr>
              <w:t>8</w:t>
            </w:r>
          </w:p>
        </w:tc>
        <w:tc>
          <w:tcPr>
            <w:tcW w:w="0" w:type="auto"/>
            <w:tcBorders>
              <w:top w:val="nil"/>
              <w:left w:val="nil"/>
              <w:bottom w:val="double" w:sz="6" w:space="0" w:color="auto"/>
              <w:right w:val="nil"/>
            </w:tcBorders>
            <w:shd w:val="clear" w:color="auto" w:fill="auto"/>
            <w:noWrap/>
            <w:vAlign w:val="center"/>
            <w:hideMark/>
          </w:tcPr>
          <w:p w:rsidR="000D4BF4" w:rsidRPr="0048014D" w:rsidRDefault="00376920" w:rsidP="00376920">
            <w:pPr>
              <w:overflowPunct/>
              <w:autoSpaceDE/>
              <w:autoSpaceDN/>
              <w:adjustRightInd/>
              <w:textAlignment w:val="auto"/>
              <w:rPr>
                <w:color w:val="000000"/>
              </w:rPr>
            </w:pPr>
            <w:r>
              <w:rPr>
                <w:color w:val="000000"/>
              </w:rPr>
              <w:t xml:space="preserve"> </w:t>
            </w:r>
            <w:r w:rsidR="000D4BF4" w:rsidRPr="0048014D">
              <w:rPr>
                <w:color w:val="000000"/>
              </w:rPr>
              <w:t>12</w:t>
            </w:r>
          </w:p>
        </w:tc>
      </w:tr>
      <w:tr w:rsidR="000D4BF4" w:rsidRPr="0048014D" w:rsidTr="00F044F4">
        <w:trPr>
          <w:trHeight w:val="20"/>
        </w:trPr>
        <w:tc>
          <w:tcPr>
            <w:tcW w:w="0" w:type="auto"/>
            <w:tcBorders>
              <w:top w:val="nil"/>
              <w:left w:val="nil"/>
              <w:bottom w:val="nil"/>
              <w:right w:val="nil"/>
            </w:tcBorders>
            <w:shd w:val="clear" w:color="auto" w:fill="auto"/>
            <w:noWrap/>
            <w:vAlign w:val="center"/>
            <w:hideMark/>
          </w:tcPr>
          <w:p w:rsidR="000D4BF4" w:rsidRPr="0048014D" w:rsidRDefault="000D4BF4" w:rsidP="00666F68">
            <w:pPr>
              <w:overflowPunct/>
              <w:autoSpaceDE/>
              <w:autoSpaceDN/>
              <w:adjustRightInd/>
              <w:spacing w:before="60"/>
              <w:textAlignment w:val="auto"/>
              <w:rPr>
                <w:color w:val="000000"/>
              </w:rPr>
            </w:pPr>
            <w:r w:rsidRPr="0048014D">
              <w:rPr>
                <w:color w:val="000000"/>
              </w:rPr>
              <w:t>CRE Tightening</w:t>
            </w:r>
            <w:r w:rsidR="00E506FD" w:rsidRPr="00E506FD">
              <w:rPr>
                <w:vertAlign w:val="subscript"/>
              </w:rPr>
              <w:t>t-1</w:t>
            </w:r>
          </w:p>
        </w:tc>
        <w:tc>
          <w:tcPr>
            <w:tcW w:w="0" w:type="auto"/>
            <w:tcBorders>
              <w:top w:val="nil"/>
              <w:left w:val="nil"/>
              <w:bottom w:val="nil"/>
              <w:right w:val="nil"/>
            </w:tcBorders>
            <w:shd w:val="clear" w:color="auto" w:fill="auto"/>
            <w:noWrap/>
            <w:vAlign w:val="center"/>
            <w:hideMark/>
          </w:tcPr>
          <w:p w:rsidR="000D4BF4" w:rsidRPr="0048014D" w:rsidRDefault="000D4BF4" w:rsidP="00666F68">
            <w:pPr>
              <w:overflowPunct/>
              <w:autoSpaceDE/>
              <w:autoSpaceDN/>
              <w:adjustRightInd/>
              <w:spacing w:before="60"/>
              <w:jc w:val="right"/>
              <w:textAlignment w:val="auto"/>
              <w:rPr>
                <w:color w:val="000000"/>
              </w:rPr>
            </w:pPr>
            <w:r w:rsidRPr="0048014D">
              <w:rPr>
                <w:color w:val="000000"/>
              </w:rPr>
              <w:t>16%</w:t>
            </w:r>
          </w:p>
        </w:tc>
        <w:tc>
          <w:tcPr>
            <w:tcW w:w="0" w:type="auto"/>
            <w:tcBorders>
              <w:top w:val="nil"/>
              <w:left w:val="nil"/>
              <w:bottom w:val="nil"/>
              <w:right w:val="nil"/>
            </w:tcBorders>
            <w:shd w:val="clear" w:color="auto" w:fill="auto"/>
            <w:noWrap/>
            <w:vAlign w:val="center"/>
            <w:hideMark/>
          </w:tcPr>
          <w:p w:rsidR="000D4BF4" w:rsidRPr="0048014D" w:rsidRDefault="000D4BF4" w:rsidP="00666F68">
            <w:pPr>
              <w:overflowPunct/>
              <w:autoSpaceDE/>
              <w:autoSpaceDN/>
              <w:adjustRightInd/>
              <w:spacing w:before="60"/>
              <w:jc w:val="right"/>
              <w:textAlignment w:val="auto"/>
              <w:rPr>
                <w:color w:val="000000"/>
              </w:rPr>
            </w:pPr>
            <w:r w:rsidRPr="0048014D">
              <w:rPr>
                <w:color w:val="000000"/>
              </w:rPr>
              <w:t>34%</w:t>
            </w:r>
          </w:p>
        </w:tc>
        <w:tc>
          <w:tcPr>
            <w:tcW w:w="0" w:type="auto"/>
            <w:tcBorders>
              <w:top w:val="nil"/>
              <w:left w:val="nil"/>
              <w:bottom w:val="nil"/>
              <w:right w:val="nil"/>
            </w:tcBorders>
            <w:shd w:val="clear" w:color="auto" w:fill="auto"/>
            <w:noWrap/>
            <w:vAlign w:val="center"/>
            <w:hideMark/>
          </w:tcPr>
          <w:p w:rsidR="000D4BF4" w:rsidRPr="0048014D" w:rsidRDefault="00376920" w:rsidP="00666F68">
            <w:pPr>
              <w:overflowPunct/>
              <w:autoSpaceDE/>
              <w:autoSpaceDN/>
              <w:adjustRightInd/>
              <w:spacing w:before="60"/>
              <w:textAlignment w:val="auto"/>
              <w:rPr>
                <w:color w:val="000000"/>
              </w:rPr>
            </w:pPr>
            <w:r>
              <w:rPr>
                <w:color w:val="000000"/>
              </w:rPr>
              <w:t xml:space="preserve"> </w:t>
            </w:r>
            <w:r w:rsidR="000D4BF4" w:rsidRPr="0048014D">
              <w:rPr>
                <w:color w:val="000000"/>
              </w:rPr>
              <w:t>40%</w:t>
            </w:r>
            <w:r w:rsidR="008F386D">
              <w:rPr>
                <w:color w:val="000000"/>
              </w:rPr>
              <w:t xml:space="preserve"> </w:t>
            </w:r>
          </w:p>
        </w:tc>
        <w:tc>
          <w:tcPr>
            <w:tcW w:w="0" w:type="auto"/>
            <w:tcBorders>
              <w:top w:val="nil"/>
              <w:left w:val="nil"/>
              <w:bottom w:val="nil"/>
              <w:right w:val="nil"/>
            </w:tcBorders>
            <w:shd w:val="clear" w:color="auto" w:fill="auto"/>
            <w:noWrap/>
            <w:vAlign w:val="center"/>
            <w:hideMark/>
          </w:tcPr>
          <w:p w:rsidR="000D4BF4" w:rsidRPr="0048014D" w:rsidRDefault="000D4BF4" w:rsidP="00666F68">
            <w:pPr>
              <w:overflowPunct/>
              <w:autoSpaceDE/>
              <w:autoSpaceDN/>
              <w:adjustRightInd/>
              <w:spacing w:before="60"/>
              <w:jc w:val="right"/>
              <w:textAlignment w:val="auto"/>
              <w:rPr>
                <w:color w:val="000000"/>
              </w:rPr>
            </w:pPr>
            <w:r w:rsidRPr="0048014D">
              <w:rPr>
                <w:color w:val="000000"/>
              </w:rPr>
              <w:t>15%</w:t>
            </w:r>
          </w:p>
        </w:tc>
        <w:tc>
          <w:tcPr>
            <w:tcW w:w="0" w:type="auto"/>
            <w:tcBorders>
              <w:top w:val="nil"/>
              <w:left w:val="nil"/>
              <w:bottom w:val="nil"/>
              <w:right w:val="nil"/>
            </w:tcBorders>
            <w:shd w:val="clear" w:color="auto" w:fill="auto"/>
            <w:noWrap/>
            <w:vAlign w:val="center"/>
            <w:hideMark/>
          </w:tcPr>
          <w:p w:rsidR="000D4BF4" w:rsidRPr="0048014D" w:rsidRDefault="000D4BF4" w:rsidP="00666F68">
            <w:pPr>
              <w:overflowPunct/>
              <w:autoSpaceDE/>
              <w:autoSpaceDN/>
              <w:adjustRightInd/>
              <w:spacing w:before="60"/>
              <w:jc w:val="right"/>
              <w:textAlignment w:val="auto"/>
              <w:rPr>
                <w:color w:val="000000"/>
              </w:rPr>
            </w:pPr>
            <w:r w:rsidRPr="0048014D">
              <w:rPr>
                <w:color w:val="000000"/>
              </w:rPr>
              <w:t>34%</w:t>
            </w:r>
          </w:p>
        </w:tc>
        <w:tc>
          <w:tcPr>
            <w:tcW w:w="0" w:type="auto"/>
            <w:tcBorders>
              <w:top w:val="nil"/>
              <w:left w:val="nil"/>
              <w:bottom w:val="nil"/>
              <w:right w:val="nil"/>
            </w:tcBorders>
            <w:shd w:val="clear" w:color="auto" w:fill="auto"/>
            <w:noWrap/>
            <w:vAlign w:val="center"/>
            <w:hideMark/>
          </w:tcPr>
          <w:p w:rsidR="000D4BF4" w:rsidRPr="0048014D" w:rsidRDefault="000D4BF4" w:rsidP="00666F68">
            <w:pPr>
              <w:overflowPunct/>
              <w:autoSpaceDE/>
              <w:autoSpaceDN/>
              <w:adjustRightInd/>
              <w:spacing w:before="60"/>
              <w:textAlignment w:val="auto"/>
              <w:rPr>
                <w:color w:val="000000"/>
              </w:rPr>
            </w:pPr>
            <w:r w:rsidRPr="0048014D">
              <w:rPr>
                <w:color w:val="000000"/>
              </w:rPr>
              <w:t>39%</w:t>
            </w:r>
          </w:p>
        </w:tc>
        <w:tc>
          <w:tcPr>
            <w:tcW w:w="0" w:type="auto"/>
            <w:tcBorders>
              <w:top w:val="nil"/>
              <w:left w:val="nil"/>
              <w:bottom w:val="nil"/>
              <w:right w:val="nil"/>
            </w:tcBorders>
            <w:shd w:val="clear" w:color="auto" w:fill="auto"/>
            <w:noWrap/>
            <w:vAlign w:val="center"/>
            <w:hideMark/>
          </w:tcPr>
          <w:p w:rsidR="000D4BF4" w:rsidRPr="0048014D" w:rsidRDefault="000D4BF4" w:rsidP="00666F68">
            <w:pPr>
              <w:overflowPunct/>
              <w:autoSpaceDE/>
              <w:autoSpaceDN/>
              <w:adjustRightInd/>
              <w:spacing w:before="60"/>
              <w:jc w:val="right"/>
              <w:textAlignment w:val="auto"/>
              <w:rPr>
                <w:color w:val="000000"/>
              </w:rPr>
            </w:pPr>
            <w:r w:rsidRPr="0048014D">
              <w:rPr>
                <w:color w:val="000000"/>
              </w:rPr>
              <w:t>22%</w:t>
            </w:r>
          </w:p>
        </w:tc>
        <w:tc>
          <w:tcPr>
            <w:tcW w:w="0" w:type="auto"/>
            <w:tcBorders>
              <w:top w:val="nil"/>
              <w:left w:val="nil"/>
              <w:bottom w:val="nil"/>
              <w:right w:val="nil"/>
            </w:tcBorders>
            <w:shd w:val="clear" w:color="auto" w:fill="auto"/>
            <w:noWrap/>
            <w:vAlign w:val="center"/>
            <w:hideMark/>
          </w:tcPr>
          <w:p w:rsidR="000D4BF4" w:rsidRPr="0048014D" w:rsidRDefault="000D4BF4" w:rsidP="00666F68">
            <w:pPr>
              <w:overflowPunct/>
              <w:autoSpaceDE/>
              <w:autoSpaceDN/>
              <w:adjustRightInd/>
              <w:spacing w:before="60"/>
              <w:jc w:val="right"/>
              <w:textAlignment w:val="auto"/>
              <w:rPr>
                <w:color w:val="000000"/>
              </w:rPr>
            </w:pPr>
            <w:r w:rsidRPr="0048014D">
              <w:rPr>
                <w:color w:val="000000"/>
              </w:rPr>
              <w:t>40%</w:t>
            </w:r>
          </w:p>
        </w:tc>
        <w:tc>
          <w:tcPr>
            <w:tcW w:w="0" w:type="auto"/>
            <w:tcBorders>
              <w:top w:val="nil"/>
              <w:left w:val="nil"/>
              <w:bottom w:val="nil"/>
              <w:right w:val="nil"/>
            </w:tcBorders>
            <w:shd w:val="clear" w:color="auto" w:fill="auto"/>
            <w:noWrap/>
            <w:vAlign w:val="center"/>
            <w:hideMark/>
          </w:tcPr>
          <w:p w:rsidR="000D4BF4" w:rsidRPr="0048014D" w:rsidRDefault="000D4BF4" w:rsidP="00666F68">
            <w:pPr>
              <w:overflowPunct/>
              <w:autoSpaceDE/>
              <w:autoSpaceDN/>
              <w:adjustRightInd/>
              <w:spacing w:before="60"/>
              <w:textAlignment w:val="auto"/>
              <w:rPr>
                <w:color w:val="000000"/>
              </w:rPr>
            </w:pPr>
            <w:r w:rsidRPr="0048014D">
              <w:rPr>
                <w:color w:val="000000"/>
              </w:rPr>
              <w:t>42%</w:t>
            </w:r>
          </w:p>
        </w:tc>
      </w:tr>
      <w:tr w:rsidR="000D4BF4" w:rsidRPr="0048014D" w:rsidTr="00F044F4">
        <w:trPr>
          <w:trHeight w:val="20"/>
        </w:trPr>
        <w:tc>
          <w:tcPr>
            <w:tcW w:w="0" w:type="auto"/>
            <w:tcBorders>
              <w:top w:val="nil"/>
              <w:left w:val="nil"/>
              <w:bottom w:val="nil"/>
              <w:right w:val="nil"/>
            </w:tcBorders>
            <w:shd w:val="clear" w:color="auto" w:fill="auto"/>
            <w:noWrap/>
            <w:vAlign w:val="center"/>
            <w:hideMark/>
          </w:tcPr>
          <w:p w:rsidR="000D4BF4" w:rsidRPr="0048014D" w:rsidRDefault="000D4BF4" w:rsidP="00F044F4">
            <w:pPr>
              <w:overflowPunct/>
              <w:autoSpaceDE/>
              <w:autoSpaceDN/>
              <w:adjustRightInd/>
              <w:textAlignment w:val="auto"/>
              <w:rPr>
                <w:color w:val="000000"/>
              </w:rPr>
            </w:pPr>
            <w:r w:rsidRPr="0048014D">
              <w:rPr>
                <w:color w:val="000000"/>
              </w:rPr>
              <w:t>Capital Gains</w:t>
            </w:r>
            <w:r w:rsidR="00E506FD" w:rsidRPr="00E506FD">
              <w:rPr>
                <w:vertAlign w:val="subscript"/>
              </w:rPr>
              <w:t>t-1</w:t>
            </w:r>
          </w:p>
        </w:tc>
        <w:tc>
          <w:tcPr>
            <w:tcW w:w="0" w:type="auto"/>
            <w:tcBorders>
              <w:top w:val="nil"/>
              <w:left w:val="nil"/>
              <w:bottom w:val="nil"/>
              <w:right w:val="nil"/>
            </w:tcBorders>
            <w:shd w:val="clear" w:color="auto" w:fill="auto"/>
            <w:noWrap/>
            <w:vAlign w:val="center"/>
            <w:hideMark/>
          </w:tcPr>
          <w:p w:rsidR="000D4BF4" w:rsidRPr="0048014D" w:rsidRDefault="000D4BF4" w:rsidP="00F044F4">
            <w:pPr>
              <w:overflowPunct/>
              <w:autoSpaceDE/>
              <w:autoSpaceDN/>
              <w:adjustRightInd/>
              <w:jc w:val="right"/>
              <w:textAlignment w:val="auto"/>
              <w:rPr>
                <w:color w:val="000000"/>
              </w:rPr>
            </w:pPr>
            <w:r w:rsidRPr="0048014D">
              <w:rPr>
                <w:color w:val="000000"/>
              </w:rPr>
              <w:t>70%</w:t>
            </w:r>
          </w:p>
        </w:tc>
        <w:tc>
          <w:tcPr>
            <w:tcW w:w="0" w:type="auto"/>
            <w:tcBorders>
              <w:top w:val="nil"/>
              <w:left w:val="nil"/>
              <w:bottom w:val="nil"/>
              <w:right w:val="nil"/>
            </w:tcBorders>
            <w:shd w:val="clear" w:color="auto" w:fill="auto"/>
            <w:noWrap/>
            <w:vAlign w:val="center"/>
            <w:hideMark/>
          </w:tcPr>
          <w:p w:rsidR="000D4BF4" w:rsidRPr="0048014D" w:rsidRDefault="000D4BF4" w:rsidP="00F044F4">
            <w:pPr>
              <w:overflowPunct/>
              <w:autoSpaceDE/>
              <w:autoSpaceDN/>
              <w:adjustRightInd/>
              <w:jc w:val="right"/>
              <w:textAlignment w:val="auto"/>
              <w:rPr>
                <w:color w:val="000000"/>
              </w:rPr>
            </w:pPr>
            <w:r w:rsidRPr="0048014D">
              <w:rPr>
                <w:color w:val="000000"/>
              </w:rPr>
              <w:t>54%</w:t>
            </w:r>
          </w:p>
        </w:tc>
        <w:tc>
          <w:tcPr>
            <w:tcW w:w="0" w:type="auto"/>
            <w:tcBorders>
              <w:top w:val="nil"/>
              <w:left w:val="nil"/>
              <w:bottom w:val="nil"/>
              <w:right w:val="nil"/>
            </w:tcBorders>
            <w:shd w:val="clear" w:color="auto" w:fill="auto"/>
            <w:noWrap/>
            <w:vAlign w:val="center"/>
            <w:hideMark/>
          </w:tcPr>
          <w:p w:rsidR="000D4BF4" w:rsidRPr="0048014D" w:rsidRDefault="00376920" w:rsidP="00376920">
            <w:pPr>
              <w:overflowPunct/>
              <w:autoSpaceDE/>
              <w:autoSpaceDN/>
              <w:adjustRightInd/>
              <w:textAlignment w:val="auto"/>
              <w:rPr>
                <w:color w:val="000000"/>
              </w:rPr>
            </w:pPr>
            <w:r>
              <w:rPr>
                <w:color w:val="000000"/>
              </w:rPr>
              <w:t xml:space="preserve"> </w:t>
            </w:r>
            <w:r w:rsidR="000D4BF4" w:rsidRPr="0048014D">
              <w:rPr>
                <w:color w:val="000000"/>
              </w:rPr>
              <w:t>50%</w:t>
            </w:r>
          </w:p>
        </w:tc>
        <w:tc>
          <w:tcPr>
            <w:tcW w:w="0" w:type="auto"/>
            <w:tcBorders>
              <w:top w:val="nil"/>
              <w:left w:val="nil"/>
              <w:bottom w:val="nil"/>
              <w:right w:val="nil"/>
            </w:tcBorders>
            <w:shd w:val="clear" w:color="auto" w:fill="auto"/>
            <w:noWrap/>
            <w:vAlign w:val="center"/>
            <w:hideMark/>
          </w:tcPr>
          <w:p w:rsidR="000D4BF4" w:rsidRPr="0048014D" w:rsidRDefault="000D4BF4" w:rsidP="00F044F4">
            <w:pPr>
              <w:overflowPunct/>
              <w:autoSpaceDE/>
              <w:autoSpaceDN/>
              <w:adjustRightInd/>
              <w:jc w:val="right"/>
              <w:textAlignment w:val="auto"/>
              <w:rPr>
                <w:color w:val="000000"/>
              </w:rPr>
            </w:pPr>
            <w:r w:rsidRPr="0048014D">
              <w:rPr>
                <w:color w:val="000000"/>
              </w:rPr>
              <w:t>67%</w:t>
            </w:r>
          </w:p>
        </w:tc>
        <w:tc>
          <w:tcPr>
            <w:tcW w:w="0" w:type="auto"/>
            <w:tcBorders>
              <w:top w:val="nil"/>
              <w:left w:val="nil"/>
              <w:bottom w:val="nil"/>
              <w:right w:val="nil"/>
            </w:tcBorders>
            <w:shd w:val="clear" w:color="auto" w:fill="auto"/>
            <w:noWrap/>
            <w:vAlign w:val="center"/>
            <w:hideMark/>
          </w:tcPr>
          <w:p w:rsidR="000D4BF4" w:rsidRPr="0048014D" w:rsidRDefault="000D4BF4" w:rsidP="00F044F4">
            <w:pPr>
              <w:overflowPunct/>
              <w:autoSpaceDE/>
              <w:autoSpaceDN/>
              <w:adjustRightInd/>
              <w:jc w:val="right"/>
              <w:textAlignment w:val="auto"/>
              <w:rPr>
                <w:color w:val="000000"/>
              </w:rPr>
            </w:pPr>
            <w:r w:rsidRPr="0048014D">
              <w:rPr>
                <w:color w:val="000000"/>
              </w:rPr>
              <w:t>52%</w:t>
            </w:r>
          </w:p>
        </w:tc>
        <w:tc>
          <w:tcPr>
            <w:tcW w:w="0" w:type="auto"/>
            <w:tcBorders>
              <w:top w:val="nil"/>
              <w:left w:val="nil"/>
              <w:bottom w:val="nil"/>
              <w:right w:val="nil"/>
            </w:tcBorders>
            <w:shd w:val="clear" w:color="auto" w:fill="auto"/>
            <w:noWrap/>
            <w:vAlign w:val="center"/>
            <w:hideMark/>
          </w:tcPr>
          <w:p w:rsidR="000D4BF4" w:rsidRPr="0048014D" w:rsidRDefault="000D4BF4" w:rsidP="00376920">
            <w:pPr>
              <w:overflowPunct/>
              <w:autoSpaceDE/>
              <w:autoSpaceDN/>
              <w:adjustRightInd/>
              <w:textAlignment w:val="auto"/>
              <w:rPr>
                <w:color w:val="000000"/>
              </w:rPr>
            </w:pPr>
            <w:r w:rsidRPr="0048014D">
              <w:rPr>
                <w:color w:val="000000"/>
              </w:rPr>
              <w:t>48%</w:t>
            </w:r>
          </w:p>
        </w:tc>
        <w:tc>
          <w:tcPr>
            <w:tcW w:w="0" w:type="auto"/>
            <w:tcBorders>
              <w:top w:val="nil"/>
              <w:left w:val="nil"/>
              <w:bottom w:val="nil"/>
              <w:right w:val="nil"/>
            </w:tcBorders>
            <w:shd w:val="clear" w:color="auto" w:fill="auto"/>
            <w:noWrap/>
            <w:vAlign w:val="center"/>
            <w:hideMark/>
          </w:tcPr>
          <w:p w:rsidR="000D4BF4" w:rsidRPr="0048014D" w:rsidRDefault="000D4BF4" w:rsidP="00F044F4">
            <w:pPr>
              <w:overflowPunct/>
              <w:autoSpaceDE/>
              <w:autoSpaceDN/>
              <w:adjustRightInd/>
              <w:jc w:val="right"/>
              <w:textAlignment w:val="auto"/>
              <w:rPr>
                <w:color w:val="000000"/>
              </w:rPr>
            </w:pPr>
            <w:r w:rsidRPr="0048014D">
              <w:rPr>
                <w:color w:val="000000"/>
              </w:rPr>
              <w:t>75%</w:t>
            </w:r>
          </w:p>
        </w:tc>
        <w:tc>
          <w:tcPr>
            <w:tcW w:w="0" w:type="auto"/>
            <w:tcBorders>
              <w:top w:val="nil"/>
              <w:left w:val="nil"/>
              <w:bottom w:val="nil"/>
              <w:right w:val="nil"/>
            </w:tcBorders>
            <w:shd w:val="clear" w:color="auto" w:fill="auto"/>
            <w:noWrap/>
            <w:vAlign w:val="center"/>
            <w:hideMark/>
          </w:tcPr>
          <w:p w:rsidR="000D4BF4" w:rsidRPr="0048014D" w:rsidRDefault="000D4BF4" w:rsidP="00F044F4">
            <w:pPr>
              <w:overflowPunct/>
              <w:autoSpaceDE/>
              <w:autoSpaceDN/>
              <w:adjustRightInd/>
              <w:jc w:val="right"/>
              <w:textAlignment w:val="auto"/>
              <w:rPr>
                <w:color w:val="000000"/>
              </w:rPr>
            </w:pPr>
            <w:r w:rsidRPr="0048014D">
              <w:rPr>
                <w:color w:val="000000"/>
              </w:rPr>
              <w:t>56%</w:t>
            </w:r>
          </w:p>
        </w:tc>
        <w:tc>
          <w:tcPr>
            <w:tcW w:w="0" w:type="auto"/>
            <w:tcBorders>
              <w:top w:val="nil"/>
              <w:left w:val="nil"/>
              <w:bottom w:val="nil"/>
              <w:right w:val="nil"/>
            </w:tcBorders>
            <w:shd w:val="clear" w:color="auto" w:fill="auto"/>
            <w:noWrap/>
            <w:vAlign w:val="center"/>
            <w:hideMark/>
          </w:tcPr>
          <w:p w:rsidR="000D4BF4" w:rsidRPr="0048014D" w:rsidRDefault="000D4BF4" w:rsidP="00376920">
            <w:pPr>
              <w:overflowPunct/>
              <w:autoSpaceDE/>
              <w:autoSpaceDN/>
              <w:adjustRightInd/>
              <w:textAlignment w:val="auto"/>
              <w:rPr>
                <w:color w:val="000000"/>
              </w:rPr>
            </w:pPr>
            <w:r w:rsidRPr="0048014D">
              <w:rPr>
                <w:color w:val="000000"/>
              </w:rPr>
              <w:t>49%</w:t>
            </w:r>
          </w:p>
        </w:tc>
      </w:tr>
      <w:tr w:rsidR="000D4BF4" w:rsidRPr="0048014D" w:rsidTr="00F044F4">
        <w:trPr>
          <w:trHeight w:val="20"/>
        </w:trPr>
        <w:tc>
          <w:tcPr>
            <w:tcW w:w="0" w:type="auto"/>
            <w:tcBorders>
              <w:top w:val="nil"/>
              <w:left w:val="nil"/>
              <w:bottom w:val="nil"/>
              <w:right w:val="nil"/>
            </w:tcBorders>
            <w:shd w:val="clear" w:color="auto" w:fill="auto"/>
            <w:noWrap/>
            <w:vAlign w:val="center"/>
            <w:hideMark/>
          </w:tcPr>
          <w:p w:rsidR="000D4BF4" w:rsidRPr="0048014D" w:rsidRDefault="000D4BF4" w:rsidP="00F044F4">
            <w:pPr>
              <w:overflowPunct/>
              <w:autoSpaceDE/>
              <w:autoSpaceDN/>
              <w:adjustRightInd/>
              <w:textAlignment w:val="auto"/>
              <w:rPr>
                <w:color w:val="000000"/>
              </w:rPr>
            </w:pPr>
            <w:r w:rsidRPr="0048014D">
              <w:rPr>
                <w:color w:val="000000"/>
              </w:rPr>
              <w:t>Cap Rates</w:t>
            </w:r>
            <w:r w:rsidR="00E506FD" w:rsidRPr="00E506FD">
              <w:rPr>
                <w:vertAlign w:val="subscript"/>
              </w:rPr>
              <w:t>t-1</w:t>
            </w:r>
          </w:p>
        </w:tc>
        <w:tc>
          <w:tcPr>
            <w:tcW w:w="0" w:type="auto"/>
            <w:tcBorders>
              <w:top w:val="nil"/>
              <w:left w:val="nil"/>
              <w:bottom w:val="nil"/>
              <w:right w:val="nil"/>
            </w:tcBorders>
            <w:shd w:val="clear" w:color="auto" w:fill="auto"/>
            <w:noWrap/>
            <w:vAlign w:val="center"/>
            <w:hideMark/>
          </w:tcPr>
          <w:p w:rsidR="000D4BF4" w:rsidRPr="0048014D" w:rsidRDefault="000D4BF4" w:rsidP="00F044F4">
            <w:pPr>
              <w:overflowPunct/>
              <w:autoSpaceDE/>
              <w:autoSpaceDN/>
              <w:adjustRightInd/>
              <w:jc w:val="right"/>
              <w:textAlignment w:val="auto"/>
              <w:rPr>
                <w:color w:val="000000"/>
              </w:rPr>
            </w:pPr>
            <w:r w:rsidRPr="0048014D">
              <w:rPr>
                <w:color w:val="000000"/>
              </w:rPr>
              <w:t>5%</w:t>
            </w:r>
          </w:p>
        </w:tc>
        <w:tc>
          <w:tcPr>
            <w:tcW w:w="0" w:type="auto"/>
            <w:tcBorders>
              <w:top w:val="nil"/>
              <w:left w:val="nil"/>
              <w:bottom w:val="nil"/>
              <w:right w:val="nil"/>
            </w:tcBorders>
            <w:shd w:val="clear" w:color="auto" w:fill="auto"/>
            <w:noWrap/>
            <w:vAlign w:val="center"/>
            <w:hideMark/>
          </w:tcPr>
          <w:p w:rsidR="000D4BF4" w:rsidRPr="0048014D" w:rsidRDefault="000D4BF4" w:rsidP="00F044F4">
            <w:pPr>
              <w:overflowPunct/>
              <w:autoSpaceDE/>
              <w:autoSpaceDN/>
              <w:adjustRightInd/>
              <w:jc w:val="right"/>
              <w:textAlignment w:val="auto"/>
              <w:rPr>
                <w:color w:val="000000"/>
              </w:rPr>
            </w:pPr>
            <w:r w:rsidRPr="0048014D">
              <w:rPr>
                <w:color w:val="000000"/>
              </w:rPr>
              <w:t>4%</w:t>
            </w:r>
          </w:p>
        </w:tc>
        <w:tc>
          <w:tcPr>
            <w:tcW w:w="0" w:type="auto"/>
            <w:tcBorders>
              <w:top w:val="nil"/>
              <w:left w:val="nil"/>
              <w:bottom w:val="nil"/>
              <w:right w:val="nil"/>
            </w:tcBorders>
            <w:shd w:val="clear" w:color="auto" w:fill="auto"/>
            <w:noWrap/>
            <w:vAlign w:val="center"/>
            <w:hideMark/>
          </w:tcPr>
          <w:p w:rsidR="000D4BF4" w:rsidRPr="0048014D" w:rsidRDefault="00376920" w:rsidP="00376920">
            <w:pPr>
              <w:overflowPunct/>
              <w:autoSpaceDE/>
              <w:autoSpaceDN/>
              <w:adjustRightInd/>
              <w:textAlignment w:val="auto"/>
              <w:rPr>
                <w:color w:val="000000"/>
              </w:rPr>
            </w:pPr>
            <w:r>
              <w:rPr>
                <w:color w:val="000000"/>
              </w:rPr>
              <w:t xml:space="preserve">   </w:t>
            </w:r>
            <w:r w:rsidR="000D4BF4" w:rsidRPr="0048014D">
              <w:rPr>
                <w:color w:val="000000"/>
              </w:rPr>
              <w:t>4%</w:t>
            </w:r>
          </w:p>
        </w:tc>
        <w:tc>
          <w:tcPr>
            <w:tcW w:w="0" w:type="auto"/>
            <w:tcBorders>
              <w:top w:val="nil"/>
              <w:left w:val="nil"/>
              <w:bottom w:val="nil"/>
              <w:right w:val="nil"/>
            </w:tcBorders>
            <w:shd w:val="clear" w:color="auto" w:fill="auto"/>
            <w:noWrap/>
            <w:vAlign w:val="bottom"/>
            <w:hideMark/>
          </w:tcPr>
          <w:p w:rsidR="000D4BF4" w:rsidRPr="0048014D" w:rsidRDefault="000D4BF4" w:rsidP="00F044F4">
            <w:pPr>
              <w:overflowPunct/>
              <w:autoSpaceDE/>
              <w:autoSpaceDN/>
              <w:adjustRightInd/>
              <w:textAlignment w:val="auto"/>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0D4BF4" w:rsidRPr="0048014D" w:rsidRDefault="000D4BF4" w:rsidP="00F044F4">
            <w:pPr>
              <w:overflowPunct/>
              <w:autoSpaceDE/>
              <w:autoSpaceDN/>
              <w:adjustRightInd/>
              <w:textAlignment w:val="auto"/>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0D4BF4" w:rsidRPr="0048014D" w:rsidRDefault="000D4BF4" w:rsidP="00376920">
            <w:pPr>
              <w:overflowPunct/>
              <w:autoSpaceDE/>
              <w:autoSpaceDN/>
              <w:adjustRightInd/>
              <w:textAlignment w:val="auto"/>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0D4BF4" w:rsidRPr="0048014D" w:rsidRDefault="000D4BF4" w:rsidP="00F044F4">
            <w:pPr>
              <w:overflowPunct/>
              <w:autoSpaceDE/>
              <w:autoSpaceDN/>
              <w:adjustRightInd/>
              <w:textAlignment w:val="auto"/>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0D4BF4" w:rsidRPr="0048014D" w:rsidRDefault="000D4BF4" w:rsidP="00F044F4">
            <w:pPr>
              <w:overflowPunct/>
              <w:autoSpaceDE/>
              <w:autoSpaceDN/>
              <w:adjustRightInd/>
              <w:textAlignment w:val="auto"/>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0D4BF4" w:rsidRPr="0048014D" w:rsidRDefault="000D4BF4" w:rsidP="00376920">
            <w:pPr>
              <w:overflowPunct/>
              <w:autoSpaceDE/>
              <w:autoSpaceDN/>
              <w:adjustRightInd/>
              <w:textAlignment w:val="auto"/>
              <w:rPr>
                <w:rFonts w:ascii="Calibri" w:hAnsi="Calibri"/>
                <w:color w:val="000000"/>
                <w:sz w:val="22"/>
                <w:szCs w:val="22"/>
              </w:rPr>
            </w:pPr>
          </w:p>
        </w:tc>
      </w:tr>
      <w:tr w:rsidR="000D4BF4" w:rsidRPr="0048014D" w:rsidTr="00F044F4">
        <w:trPr>
          <w:trHeight w:val="20"/>
        </w:trPr>
        <w:tc>
          <w:tcPr>
            <w:tcW w:w="0" w:type="auto"/>
            <w:tcBorders>
              <w:top w:val="nil"/>
              <w:left w:val="nil"/>
              <w:bottom w:val="nil"/>
              <w:right w:val="nil"/>
            </w:tcBorders>
            <w:shd w:val="clear" w:color="auto" w:fill="auto"/>
            <w:noWrap/>
            <w:vAlign w:val="center"/>
            <w:hideMark/>
          </w:tcPr>
          <w:p w:rsidR="000D4BF4" w:rsidRPr="0048014D" w:rsidRDefault="000D4BF4" w:rsidP="00F044F4">
            <w:pPr>
              <w:overflowPunct/>
              <w:autoSpaceDE/>
              <w:autoSpaceDN/>
              <w:adjustRightInd/>
              <w:textAlignment w:val="auto"/>
              <w:rPr>
                <w:color w:val="000000"/>
              </w:rPr>
            </w:pPr>
            <w:r w:rsidRPr="0048014D">
              <w:rPr>
                <w:color w:val="000000"/>
              </w:rPr>
              <w:t>Volume</w:t>
            </w:r>
            <w:r w:rsidR="00E506FD" w:rsidRPr="00E506FD">
              <w:rPr>
                <w:vertAlign w:val="subscript"/>
              </w:rPr>
              <w:t>t-1</w:t>
            </w:r>
          </w:p>
        </w:tc>
        <w:tc>
          <w:tcPr>
            <w:tcW w:w="0" w:type="auto"/>
            <w:tcBorders>
              <w:top w:val="nil"/>
              <w:left w:val="nil"/>
              <w:bottom w:val="nil"/>
              <w:right w:val="nil"/>
            </w:tcBorders>
            <w:shd w:val="clear" w:color="auto" w:fill="auto"/>
            <w:noWrap/>
            <w:vAlign w:val="center"/>
            <w:hideMark/>
          </w:tcPr>
          <w:p w:rsidR="000D4BF4" w:rsidRPr="0048014D" w:rsidRDefault="000D4BF4" w:rsidP="00F044F4">
            <w:pPr>
              <w:overflowPunct/>
              <w:autoSpaceDE/>
              <w:autoSpaceDN/>
              <w:adjustRightInd/>
              <w:jc w:val="right"/>
              <w:textAlignment w:val="auto"/>
              <w:rPr>
                <w:color w:val="000000"/>
              </w:rPr>
            </w:pPr>
            <w:r w:rsidRPr="0048014D">
              <w:rPr>
                <w:color w:val="000000"/>
              </w:rPr>
              <w:t>9%</w:t>
            </w:r>
          </w:p>
        </w:tc>
        <w:tc>
          <w:tcPr>
            <w:tcW w:w="0" w:type="auto"/>
            <w:tcBorders>
              <w:top w:val="nil"/>
              <w:left w:val="nil"/>
              <w:bottom w:val="nil"/>
              <w:right w:val="nil"/>
            </w:tcBorders>
            <w:shd w:val="clear" w:color="auto" w:fill="auto"/>
            <w:noWrap/>
            <w:vAlign w:val="center"/>
            <w:hideMark/>
          </w:tcPr>
          <w:p w:rsidR="000D4BF4" w:rsidRPr="0048014D" w:rsidRDefault="000D4BF4" w:rsidP="00F044F4">
            <w:pPr>
              <w:overflowPunct/>
              <w:autoSpaceDE/>
              <w:autoSpaceDN/>
              <w:adjustRightInd/>
              <w:jc w:val="right"/>
              <w:textAlignment w:val="auto"/>
              <w:rPr>
                <w:color w:val="000000"/>
              </w:rPr>
            </w:pPr>
            <w:r w:rsidRPr="0048014D">
              <w:rPr>
                <w:color w:val="000000"/>
              </w:rPr>
              <w:t>7%</w:t>
            </w:r>
          </w:p>
        </w:tc>
        <w:tc>
          <w:tcPr>
            <w:tcW w:w="0" w:type="auto"/>
            <w:tcBorders>
              <w:top w:val="nil"/>
              <w:left w:val="nil"/>
              <w:bottom w:val="nil"/>
              <w:right w:val="nil"/>
            </w:tcBorders>
            <w:shd w:val="clear" w:color="auto" w:fill="auto"/>
            <w:noWrap/>
            <w:vAlign w:val="center"/>
            <w:hideMark/>
          </w:tcPr>
          <w:p w:rsidR="000D4BF4" w:rsidRPr="0048014D" w:rsidRDefault="00376920" w:rsidP="00376920">
            <w:pPr>
              <w:overflowPunct/>
              <w:autoSpaceDE/>
              <w:autoSpaceDN/>
              <w:adjustRightInd/>
              <w:textAlignment w:val="auto"/>
              <w:rPr>
                <w:color w:val="000000"/>
              </w:rPr>
            </w:pPr>
            <w:r>
              <w:rPr>
                <w:color w:val="000000"/>
              </w:rPr>
              <w:t xml:space="preserve">   </w:t>
            </w:r>
            <w:r w:rsidR="000D4BF4" w:rsidRPr="0048014D">
              <w:rPr>
                <w:color w:val="000000"/>
              </w:rPr>
              <w:t>7%</w:t>
            </w:r>
          </w:p>
        </w:tc>
        <w:tc>
          <w:tcPr>
            <w:tcW w:w="0" w:type="auto"/>
            <w:tcBorders>
              <w:top w:val="nil"/>
              <w:left w:val="nil"/>
              <w:bottom w:val="nil"/>
              <w:right w:val="nil"/>
            </w:tcBorders>
            <w:shd w:val="clear" w:color="auto" w:fill="auto"/>
            <w:noWrap/>
            <w:vAlign w:val="center"/>
            <w:hideMark/>
          </w:tcPr>
          <w:p w:rsidR="000D4BF4" w:rsidRPr="0048014D" w:rsidRDefault="000D4BF4" w:rsidP="00F044F4">
            <w:pPr>
              <w:overflowPunct/>
              <w:autoSpaceDE/>
              <w:autoSpaceDN/>
              <w:adjustRightInd/>
              <w:jc w:val="right"/>
              <w:textAlignment w:val="auto"/>
              <w:rPr>
                <w:color w:val="000000"/>
              </w:rPr>
            </w:pPr>
            <w:r w:rsidRPr="0048014D">
              <w:rPr>
                <w:color w:val="000000"/>
              </w:rPr>
              <w:t>11%</w:t>
            </w:r>
          </w:p>
        </w:tc>
        <w:tc>
          <w:tcPr>
            <w:tcW w:w="0" w:type="auto"/>
            <w:tcBorders>
              <w:top w:val="nil"/>
              <w:left w:val="nil"/>
              <w:bottom w:val="nil"/>
              <w:right w:val="nil"/>
            </w:tcBorders>
            <w:shd w:val="clear" w:color="auto" w:fill="auto"/>
            <w:noWrap/>
            <w:vAlign w:val="center"/>
            <w:hideMark/>
          </w:tcPr>
          <w:p w:rsidR="000D4BF4" w:rsidRPr="0048014D" w:rsidRDefault="000D4BF4" w:rsidP="00F044F4">
            <w:pPr>
              <w:overflowPunct/>
              <w:autoSpaceDE/>
              <w:autoSpaceDN/>
              <w:adjustRightInd/>
              <w:jc w:val="right"/>
              <w:textAlignment w:val="auto"/>
              <w:rPr>
                <w:color w:val="000000"/>
              </w:rPr>
            </w:pPr>
            <w:r w:rsidRPr="0048014D">
              <w:rPr>
                <w:color w:val="000000"/>
              </w:rPr>
              <w:t>10%</w:t>
            </w:r>
          </w:p>
        </w:tc>
        <w:tc>
          <w:tcPr>
            <w:tcW w:w="0" w:type="auto"/>
            <w:tcBorders>
              <w:top w:val="nil"/>
              <w:left w:val="nil"/>
              <w:bottom w:val="nil"/>
              <w:right w:val="nil"/>
            </w:tcBorders>
            <w:shd w:val="clear" w:color="auto" w:fill="auto"/>
            <w:noWrap/>
            <w:vAlign w:val="center"/>
            <w:hideMark/>
          </w:tcPr>
          <w:p w:rsidR="000D4BF4" w:rsidRPr="0048014D" w:rsidRDefault="00376920" w:rsidP="00376920">
            <w:pPr>
              <w:overflowPunct/>
              <w:autoSpaceDE/>
              <w:autoSpaceDN/>
              <w:adjustRightInd/>
              <w:textAlignment w:val="auto"/>
              <w:rPr>
                <w:color w:val="000000"/>
              </w:rPr>
            </w:pPr>
            <w:r>
              <w:rPr>
                <w:color w:val="000000"/>
              </w:rPr>
              <w:t xml:space="preserve">  </w:t>
            </w:r>
            <w:r w:rsidR="000D4BF4" w:rsidRPr="0048014D">
              <w:rPr>
                <w:color w:val="000000"/>
              </w:rPr>
              <w:t>9%</w:t>
            </w:r>
          </w:p>
        </w:tc>
        <w:tc>
          <w:tcPr>
            <w:tcW w:w="0" w:type="auto"/>
            <w:tcBorders>
              <w:top w:val="nil"/>
              <w:left w:val="nil"/>
              <w:bottom w:val="nil"/>
              <w:right w:val="nil"/>
            </w:tcBorders>
            <w:shd w:val="clear" w:color="auto" w:fill="auto"/>
            <w:noWrap/>
            <w:vAlign w:val="bottom"/>
            <w:hideMark/>
          </w:tcPr>
          <w:p w:rsidR="000D4BF4" w:rsidRPr="0048014D" w:rsidRDefault="000D4BF4" w:rsidP="00F044F4">
            <w:pPr>
              <w:overflowPunct/>
              <w:autoSpaceDE/>
              <w:autoSpaceDN/>
              <w:adjustRightInd/>
              <w:textAlignment w:val="auto"/>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0D4BF4" w:rsidRPr="0048014D" w:rsidRDefault="000D4BF4" w:rsidP="00F044F4">
            <w:pPr>
              <w:overflowPunct/>
              <w:autoSpaceDE/>
              <w:autoSpaceDN/>
              <w:adjustRightInd/>
              <w:textAlignment w:val="auto"/>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0D4BF4" w:rsidRPr="0048014D" w:rsidRDefault="000D4BF4" w:rsidP="00376920">
            <w:pPr>
              <w:overflowPunct/>
              <w:autoSpaceDE/>
              <w:autoSpaceDN/>
              <w:adjustRightInd/>
              <w:textAlignment w:val="auto"/>
              <w:rPr>
                <w:rFonts w:ascii="Calibri" w:hAnsi="Calibri"/>
                <w:color w:val="000000"/>
                <w:sz w:val="22"/>
                <w:szCs w:val="22"/>
              </w:rPr>
            </w:pPr>
          </w:p>
        </w:tc>
      </w:tr>
      <w:tr w:rsidR="000D4BF4" w:rsidRPr="0048014D" w:rsidTr="00F044F4">
        <w:trPr>
          <w:trHeight w:val="20"/>
        </w:trPr>
        <w:tc>
          <w:tcPr>
            <w:tcW w:w="0" w:type="auto"/>
            <w:tcBorders>
              <w:top w:val="nil"/>
              <w:left w:val="nil"/>
              <w:bottom w:val="nil"/>
              <w:right w:val="nil"/>
            </w:tcBorders>
            <w:shd w:val="clear" w:color="auto" w:fill="auto"/>
            <w:noWrap/>
            <w:vAlign w:val="center"/>
            <w:hideMark/>
          </w:tcPr>
          <w:p w:rsidR="000D4BF4" w:rsidRPr="0048014D" w:rsidRDefault="000D4BF4" w:rsidP="00F044F4">
            <w:pPr>
              <w:overflowPunct/>
              <w:autoSpaceDE/>
              <w:autoSpaceDN/>
              <w:adjustRightInd/>
              <w:textAlignment w:val="auto"/>
              <w:rPr>
                <w:color w:val="000000"/>
              </w:rPr>
            </w:pPr>
            <w:r>
              <w:rPr>
                <w:color w:val="000000"/>
              </w:rPr>
              <w:t>E</w:t>
            </w:r>
            <w:r w:rsidRPr="0048014D">
              <w:rPr>
                <w:color w:val="000000"/>
              </w:rPr>
              <w:t>{Income Returns}</w:t>
            </w:r>
            <w:r w:rsidR="00E506FD" w:rsidRPr="00E506FD">
              <w:rPr>
                <w:vertAlign w:val="subscript"/>
              </w:rPr>
              <w:t>t+4</w:t>
            </w:r>
          </w:p>
        </w:tc>
        <w:tc>
          <w:tcPr>
            <w:tcW w:w="0" w:type="auto"/>
            <w:tcBorders>
              <w:top w:val="nil"/>
              <w:left w:val="nil"/>
              <w:bottom w:val="nil"/>
              <w:right w:val="nil"/>
            </w:tcBorders>
            <w:shd w:val="clear" w:color="auto" w:fill="auto"/>
            <w:noWrap/>
            <w:vAlign w:val="center"/>
          </w:tcPr>
          <w:p w:rsidR="000D4BF4" w:rsidRPr="0048014D" w:rsidRDefault="000D4BF4" w:rsidP="00F044F4">
            <w:pPr>
              <w:overflowPunct/>
              <w:autoSpaceDE/>
              <w:autoSpaceDN/>
              <w:adjustRightInd/>
              <w:jc w:val="right"/>
              <w:textAlignment w:val="auto"/>
              <w:rPr>
                <w:color w:val="000000"/>
              </w:rPr>
            </w:pPr>
          </w:p>
        </w:tc>
        <w:tc>
          <w:tcPr>
            <w:tcW w:w="0" w:type="auto"/>
            <w:tcBorders>
              <w:top w:val="nil"/>
              <w:left w:val="nil"/>
              <w:bottom w:val="nil"/>
              <w:right w:val="nil"/>
            </w:tcBorders>
            <w:shd w:val="clear" w:color="auto" w:fill="auto"/>
            <w:noWrap/>
            <w:vAlign w:val="center"/>
            <w:hideMark/>
          </w:tcPr>
          <w:p w:rsidR="000D4BF4" w:rsidRPr="0048014D" w:rsidRDefault="000D4BF4" w:rsidP="00F044F4">
            <w:pPr>
              <w:overflowPunct/>
              <w:autoSpaceDE/>
              <w:autoSpaceDN/>
              <w:adjustRightInd/>
              <w:jc w:val="right"/>
              <w:textAlignment w:val="auto"/>
              <w:rPr>
                <w:color w:val="000000"/>
              </w:rPr>
            </w:pPr>
          </w:p>
        </w:tc>
        <w:tc>
          <w:tcPr>
            <w:tcW w:w="0" w:type="auto"/>
            <w:tcBorders>
              <w:top w:val="nil"/>
              <w:left w:val="nil"/>
              <w:bottom w:val="nil"/>
              <w:right w:val="nil"/>
            </w:tcBorders>
            <w:shd w:val="clear" w:color="auto" w:fill="auto"/>
            <w:noWrap/>
            <w:vAlign w:val="center"/>
            <w:hideMark/>
          </w:tcPr>
          <w:p w:rsidR="000D4BF4" w:rsidRPr="0048014D" w:rsidRDefault="000D4BF4" w:rsidP="00F044F4">
            <w:pPr>
              <w:overflowPunct/>
              <w:autoSpaceDE/>
              <w:autoSpaceDN/>
              <w:adjustRightInd/>
              <w:jc w:val="right"/>
              <w:textAlignment w:val="auto"/>
              <w:rPr>
                <w:color w:val="000000"/>
              </w:rPr>
            </w:pPr>
          </w:p>
        </w:tc>
        <w:tc>
          <w:tcPr>
            <w:tcW w:w="0" w:type="auto"/>
            <w:tcBorders>
              <w:top w:val="nil"/>
              <w:left w:val="nil"/>
              <w:bottom w:val="nil"/>
              <w:right w:val="nil"/>
            </w:tcBorders>
            <w:shd w:val="clear" w:color="auto" w:fill="auto"/>
            <w:noWrap/>
            <w:vAlign w:val="center"/>
            <w:hideMark/>
          </w:tcPr>
          <w:p w:rsidR="000D4BF4" w:rsidRPr="0048014D" w:rsidRDefault="000D4BF4" w:rsidP="00F044F4">
            <w:pPr>
              <w:overflowPunct/>
              <w:autoSpaceDE/>
              <w:autoSpaceDN/>
              <w:adjustRightInd/>
              <w:jc w:val="right"/>
              <w:textAlignment w:val="auto"/>
              <w:rPr>
                <w:color w:val="000000"/>
              </w:rPr>
            </w:pPr>
            <w:r w:rsidRPr="0048014D">
              <w:rPr>
                <w:color w:val="000000"/>
              </w:rPr>
              <w:t>6%</w:t>
            </w:r>
          </w:p>
        </w:tc>
        <w:tc>
          <w:tcPr>
            <w:tcW w:w="0" w:type="auto"/>
            <w:tcBorders>
              <w:top w:val="nil"/>
              <w:left w:val="nil"/>
              <w:bottom w:val="nil"/>
              <w:right w:val="nil"/>
            </w:tcBorders>
            <w:shd w:val="clear" w:color="auto" w:fill="auto"/>
            <w:noWrap/>
            <w:vAlign w:val="center"/>
            <w:hideMark/>
          </w:tcPr>
          <w:p w:rsidR="000D4BF4" w:rsidRPr="0048014D" w:rsidRDefault="000D4BF4" w:rsidP="00F044F4">
            <w:pPr>
              <w:overflowPunct/>
              <w:autoSpaceDE/>
              <w:autoSpaceDN/>
              <w:adjustRightInd/>
              <w:jc w:val="right"/>
              <w:textAlignment w:val="auto"/>
              <w:rPr>
                <w:color w:val="000000"/>
              </w:rPr>
            </w:pPr>
            <w:r w:rsidRPr="0048014D">
              <w:rPr>
                <w:color w:val="000000"/>
              </w:rPr>
              <w:t>5%</w:t>
            </w:r>
          </w:p>
        </w:tc>
        <w:tc>
          <w:tcPr>
            <w:tcW w:w="0" w:type="auto"/>
            <w:tcBorders>
              <w:top w:val="nil"/>
              <w:left w:val="nil"/>
              <w:bottom w:val="nil"/>
              <w:right w:val="nil"/>
            </w:tcBorders>
            <w:shd w:val="clear" w:color="auto" w:fill="auto"/>
            <w:noWrap/>
            <w:vAlign w:val="center"/>
            <w:hideMark/>
          </w:tcPr>
          <w:p w:rsidR="000D4BF4" w:rsidRPr="0048014D" w:rsidRDefault="00376920" w:rsidP="00376920">
            <w:pPr>
              <w:overflowPunct/>
              <w:autoSpaceDE/>
              <w:autoSpaceDN/>
              <w:adjustRightInd/>
              <w:textAlignment w:val="auto"/>
              <w:rPr>
                <w:color w:val="000000"/>
              </w:rPr>
            </w:pPr>
            <w:r>
              <w:rPr>
                <w:color w:val="000000"/>
              </w:rPr>
              <w:t xml:space="preserve">  </w:t>
            </w:r>
            <w:r w:rsidR="000D4BF4" w:rsidRPr="0048014D">
              <w:rPr>
                <w:color w:val="000000"/>
              </w:rPr>
              <w:t>5%</w:t>
            </w:r>
          </w:p>
        </w:tc>
        <w:tc>
          <w:tcPr>
            <w:tcW w:w="0" w:type="auto"/>
            <w:tcBorders>
              <w:top w:val="nil"/>
              <w:left w:val="nil"/>
              <w:bottom w:val="nil"/>
              <w:right w:val="nil"/>
            </w:tcBorders>
            <w:shd w:val="clear" w:color="auto" w:fill="auto"/>
            <w:noWrap/>
            <w:vAlign w:val="center"/>
            <w:hideMark/>
          </w:tcPr>
          <w:p w:rsidR="000D4BF4" w:rsidRPr="0048014D" w:rsidRDefault="000D4BF4" w:rsidP="00F044F4">
            <w:pPr>
              <w:overflowPunct/>
              <w:autoSpaceDE/>
              <w:autoSpaceDN/>
              <w:adjustRightInd/>
              <w:jc w:val="right"/>
              <w:textAlignment w:val="auto"/>
              <w:rPr>
                <w:color w:val="000000"/>
              </w:rPr>
            </w:pPr>
          </w:p>
        </w:tc>
        <w:tc>
          <w:tcPr>
            <w:tcW w:w="0" w:type="auto"/>
            <w:tcBorders>
              <w:top w:val="nil"/>
              <w:left w:val="nil"/>
              <w:bottom w:val="nil"/>
              <w:right w:val="nil"/>
            </w:tcBorders>
            <w:shd w:val="clear" w:color="auto" w:fill="auto"/>
            <w:noWrap/>
            <w:vAlign w:val="center"/>
            <w:hideMark/>
          </w:tcPr>
          <w:p w:rsidR="000D4BF4" w:rsidRPr="0048014D" w:rsidRDefault="000D4BF4" w:rsidP="00F044F4">
            <w:pPr>
              <w:overflowPunct/>
              <w:autoSpaceDE/>
              <w:autoSpaceDN/>
              <w:adjustRightInd/>
              <w:jc w:val="right"/>
              <w:textAlignment w:val="auto"/>
              <w:rPr>
                <w:color w:val="000000"/>
              </w:rPr>
            </w:pPr>
          </w:p>
        </w:tc>
        <w:tc>
          <w:tcPr>
            <w:tcW w:w="0" w:type="auto"/>
            <w:tcBorders>
              <w:top w:val="nil"/>
              <w:left w:val="nil"/>
              <w:bottom w:val="nil"/>
              <w:right w:val="nil"/>
            </w:tcBorders>
            <w:shd w:val="clear" w:color="auto" w:fill="auto"/>
            <w:noWrap/>
            <w:vAlign w:val="center"/>
            <w:hideMark/>
          </w:tcPr>
          <w:p w:rsidR="000D4BF4" w:rsidRPr="0048014D" w:rsidRDefault="000D4BF4" w:rsidP="00376920">
            <w:pPr>
              <w:overflowPunct/>
              <w:autoSpaceDE/>
              <w:autoSpaceDN/>
              <w:adjustRightInd/>
              <w:textAlignment w:val="auto"/>
              <w:rPr>
                <w:color w:val="000000"/>
              </w:rPr>
            </w:pPr>
          </w:p>
        </w:tc>
      </w:tr>
      <w:tr w:rsidR="000D4BF4" w:rsidRPr="0048014D" w:rsidTr="00666F68">
        <w:trPr>
          <w:trHeight w:val="20"/>
        </w:trPr>
        <w:tc>
          <w:tcPr>
            <w:tcW w:w="0" w:type="auto"/>
            <w:tcBorders>
              <w:top w:val="nil"/>
              <w:left w:val="nil"/>
              <w:right w:val="nil"/>
            </w:tcBorders>
            <w:shd w:val="clear" w:color="auto" w:fill="auto"/>
            <w:noWrap/>
            <w:vAlign w:val="center"/>
            <w:hideMark/>
          </w:tcPr>
          <w:p w:rsidR="000D4BF4" w:rsidRPr="0048014D" w:rsidRDefault="000D4BF4" w:rsidP="00F044F4">
            <w:pPr>
              <w:overflowPunct/>
              <w:autoSpaceDE/>
              <w:autoSpaceDN/>
              <w:adjustRightInd/>
              <w:textAlignment w:val="auto"/>
              <w:rPr>
                <w:color w:val="000000"/>
              </w:rPr>
            </w:pPr>
            <w:r w:rsidRPr="0048014D">
              <w:rPr>
                <w:color w:val="000000"/>
              </w:rPr>
              <w:t>Income Returns</w:t>
            </w:r>
            <w:r w:rsidR="00E506FD" w:rsidRPr="00E506FD">
              <w:rPr>
                <w:color w:val="000000"/>
                <w:vertAlign w:val="subscript"/>
              </w:rPr>
              <w:t>t-1</w:t>
            </w:r>
          </w:p>
        </w:tc>
        <w:tc>
          <w:tcPr>
            <w:tcW w:w="0" w:type="auto"/>
            <w:tcBorders>
              <w:top w:val="nil"/>
              <w:left w:val="nil"/>
              <w:right w:val="nil"/>
            </w:tcBorders>
            <w:shd w:val="clear" w:color="auto" w:fill="auto"/>
            <w:noWrap/>
            <w:vAlign w:val="center"/>
          </w:tcPr>
          <w:p w:rsidR="000D4BF4" w:rsidRPr="0048014D" w:rsidRDefault="000D4BF4" w:rsidP="00F044F4">
            <w:pPr>
              <w:overflowPunct/>
              <w:autoSpaceDE/>
              <w:autoSpaceDN/>
              <w:adjustRightInd/>
              <w:jc w:val="right"/>
              <w:textAlignment w:val="auto"/>
              <w:rPr>
                <w:color w:val="000000"/>
              </w:rPr>
            </w:pPr>
          </w:p>
        </w:tc>
        <w:tc>
          <w:tcPr>
            <w:tcW w:w="0" w:type="auto"/>
            <w:tcBorders>
              <w:top w:val="nil"/>
              <w:left w:val="nil"/>
              <w:right w:val="nil"/>
            </w:tcBorders>
            <w:shd w:val="clear" w:color="auto" w:fill="auto"/>
            <w:noWrap/>
            <w:vAlign w:val="center"/>
            <w:hideMark/>
          </w:tcPr>
          <w:p w:rsidR="000D4BF4" w:rsidRPr="0048014D" w:rsidRDefault="000D4BF4" w:rsidP="00F044F4">
            <w:pPr>
              <w:overflowPunct/>
              <w:autoSpaceDE/>
              <w:autoSpaceDN/>
              <w:adjustRightInd/>
              <w:jc w:val="right"/>
              <w:textAlignment w:val="auto"/>
              <w:rPr>
                <w:color w:val="000000"/>
              </w:rPr>
            </w:pPr>
          </w:p>
        </w:tc>
        <w:tc>
          <w:tcPr>
            <w:tcW w:w="0" w:type="auto"/>
            <w:tcBorders>
              <w:top w:val="nil"/>
              <w:left w:val="nil"/>
              <w:right w:val="nil"/>
            </w:tcBorders>
            <w:shd w:val="clear" w:color="auto" w:fill="auto"/>
            <w:noWrap/>
            <w:vAlign w:val="center"/>
            <w:hideMark/>
          </w:tcPr>
          <w:p w:rsidR="000D4BF4" w:rsidRPr="0048014D" w:rsidRDefault="000D4BF4" w:rsidP="00F044F4">
            <w:pPr>
              <w:overflowPunct/>
              <w:autoSpaceDE/>
              <w:autoSpaceDN/>
              <w:adjustRightInd/>
              <w:jc w:val="right"/>
              <w:textAlignment w:val="auto"/>
              <w:rPr>
                <w:color w:val="000000"/>
              </w:rPr>
            </w:pPr>
          </w:p>
        </w:tc>
        <w:tc>
          <w:tcPr>
            <w:tcW w:w="0" w:type="auto"/>
            <w:tcBorders>
              <w:top w:val="nil"/>
              <w:left w:val="nil"/>
              <w:right w:val="nil"/>
            </w:tcBorders>
            <w:shd w:val="clear" w:color="auto" w:fill="auto"/>
            <w:noWrap/>
            <w:vAlign w:val="center"/>
            <w:hideMark/>
          </w:tcPr>
          <w:p w:rsidR="000D4BF4" w:rsidRPr="0048014D" w:rsidRDefault="000D4BF4" w:rsidP="00F044F4">
            <w:pPr>
              <w:overflowPunct/>
              <w:autoSpaceDE/>
              <w:autoSpaceDN/>
              <w:adjustRightInd/>
              <w:jc w:val="right"/>
              <w:textAlignment w:val="auto"/>
              <w:rPr>
                <w:color w:val="000000"/>
              </w:rPr>
            </w:pPr>
          </w:p>
        </w:tc>
        <w:tc>
          <w:tcPr>
            <w:tcW w:w="0" w:type="auto"/>
            <w:tcBorders>
              <w:top w:val="nil"/>
              <w:left w:val="nil"/>
              <w:right w:val="nil"/>
            </w:tcBorders>
            <w:shd w:val="clear" w:color="auto" w:fill="auto"/>
            <w:noWrap/>
            <w:vAlign w:val="center"/>
            <w:hideMark/>
          </w:tcPr>
          <w:p w:rsidR="000D4BF4" w:rsidRPr="0048014D" w:rsidRDefault="000D4BF4" w:rsidP="00F044F4">
            <w:pPr>
              <w:overflowPunct/>
              <w:autoSpaceDE/>
              <w:autoSpaceDN/>
              <w:adjustRightInd/>
              <w:jc w:val="right"/>
              <w:textAlignment w:val="auto"/>
              <w:rPr>
                <w:color w:val="000000"/>
              </w:rPr>
            </w:pPr>
          </w:p>
        </w:tc>
        <w:tc>
          <w:tcPr>
            <w:tcW w:w="0" w:type="auto"/>
            <w:tcBorders>
              <w:top w:val="nil"/>
              <w:left w:val="nil"/>
              <w:right w:val="nil"/>
            </w:tcBorders>
            <w:shd w:val="clear" w:color="auto" w:fill="auto"/>
            <w:noWrap/>
            <w:vAlign w:val="center"/>
            <w:hideMark/>
          </w:tcPr>
          <w:p w:rsidR="000D4BF4" w:rsidRPr="0048014D" w:rsidRDefault="000D4BF4" w:rsidP="00F044F4">
            <w:pPr>
              <w:overflowPunct/>
              <w:autoSpaceDE/>
              <w:autoSpaceDN/>
              <w:adjustRightInd/>
              <w:jc w:val="right"/>
              <w:textAlignment w:val="auto"/>
              <w:rPr>
                <w:color w:val="000000"/>
              </w:rPr>
            </w:pPr>
          </w:p>
        </w:tc>
        <w:tc>
          <w:tcPr>
            <w:tcW w:w="0" w:type="auto"/>
            <w:tcBorders>
              <w:top w:val="nil"/>
              <w:left w:val="nil"/>
              <w:right w:val="nil"/>
            </w:tcBorders>
            <w:shd w:val="clear" w:color="auto" w:fill="auto"/>
            <w:noWrap/>
            <w:vAlign w:val="center"/>
            <w:hideMark/>
          </w:tcPr>
          <w:p w:rsidR="000D4BF4" w:rsidRPr="0048014D" w:rsidRDefault="000D4BF4" w:rsidP="00F044F4">
            <w:pPr>
              <w:overflowPunct/>
              <w:autoSpaceDE/>
              <w:autoSpaceDN/>
              <w:adjustRightInd/>
              <w:jc w:val="right"/>
              <w:textAlignment w:val="auto"/>
              <w:rPr>
                <w:color w:val="000000"/>
              </w:rPr>
            </w:pPr>
            <w:r w:rsidRPr="0048014D">
              <w:rPr>
                <w:color w:val="000000"/>
              </w:rPr>
              <w:t>0%</w:t>
            </w:r>
          </w:p>
        </w:tc>
        <w:tc>
          <w:tcPr>
            <w:tcW w:w="0" w:type="auto"/>
            <w:tcBorders>
              <w:top w:val="nil"/>
              <w:left w:val="nil"/>
              <w:right w:val="nil"/>
            </w:tcBorders>
            <w:shd w:val="clear" w:color="auto" w:fill="auto"/>
            <w:noWrap/>
            <w:vAlign w:val="center"/>
            <w:hideMark/>
          </w:tcPr>
          <w:p w:rsidR="000D4BF4" w:rsidRPr="0048014D" w:rsidRDefault="000D4BF4" w:rsidP="00F044F4">
            <w:pPr>
              <w:overflowPunct/>
              <w:autoSpaceDE/>
              <w:autoSpaceDN/>
              <w:adjustRightInd/>
              <w:jc w:val="right"/>
              <w:textAlignment w:val="auto"/>
              <w:rPr>
                <w:color w:val="000000"/>
              </w:rPr>
            </w:pPr>
            <w:r w:rsidRPr="0048014D">
              <w:rPr>
                <w:color w:val="000000"/>
              </w:rPr>
              <w:t>0%</w:t>
            </w:r>
          </w:p>
        </w:tc>
        <w:tc>
          <w:tcPr>
            <w:tcW w:w="0" w:type="auto"/>
            <w:tcBorders>
              <w:top w:val="nil"/>
              <w:left w:val="nil"/>
              <w:right w:val="nil"/>
            </w:tcBorders>
            <w:shd w:val="clear" w:color="auto" w:fill="auto"/>
            <w:noWrap/>
            <w:vAlign w:val="center"/>
            <w:hideMark/>
          </w:tcPr>
          <w:p w:rsidR="000D4BF4" w:rsidRPr="0048014D" w:rsidRDefault="00376920" w:rsidP="00376920">
            <w:pPr>
              <w:overflowPunct/>
              <w:autoSpaceDE/>
              <w:autoSpaceDN/>
              <w:adjustRightInd/>
              <w:textAlignment w:val="auto"/>
              <w:rPr>
                <w:color w:val="000000"/>
              </w:rPr>
            </w:pPr>
            <w:r>
              <w:rPr>
                <w:color w:val="000000"/>
              </w:rPr>
              <w:t xml:space="preserve">  </w:t>
            </w:r>
            <w:r w:rsidR="000D4BF4" w:rsidRPr="0048014D">
              <w:rPr>
                <w:color w:val="000000"/>
              </w:rPr>
              <w:t>0%</w:t>
            </w:r>
          </w:p>
        </w:tc>
      </w:tr>
      <w:tr w:rsidR="000D4BF4" w:rsidRPr="0048014D" w:rsidTr="00666F68">
        <w:trPr>
          <w:trHeight w:val="20"/>
        </w:trPr>
        <w:tc>
          <w:tcPr>
            <w:tcW w:w="0" w:type="auto"/>
            <w:tcBorders>
              <w:top w:val="nil"/>
              <w:left w:val="nil"/>
              <w:bottom w:val="single" w:sz="12" w:space="0" w:color="auto"/>
              <w:right w:val="nil"/>
            </w:tcBorders>
            <w:shd w:val="clear" w:color="auto" w:fill="auto"/>
            <w:noWrap/>
            <w:vAlign w:val="center"/>
            <w:hideMark/>
          </w:tcPr>
          <w:p w:rsidR="000D4BF4" w:rsidRPr="0048014D" w:rsidRDefault="000D4BF4" w:rsidP="00666F68">
            <w:pPr>
              <w:overflowPunct/>
              <w:autoSpaceDE/>
              <w:autoSpaceDN/>
              <w:adjustRightInd/>
              <w:spacing w:after="60"/>
              <w:textAlignment w:val="auto"/>
              <w:rPr>
                <w:color w:val="000000"/>
              </w:rPr>
            </w:pPr>
            <w:r w:rsidRPr="0048014D">
              <w:rPr>
                <w:color w:val="000000"/>
              </w:rPr>
              <w:t>CRE Lending Index</w:t>
            </w:r>
            <w:r w:rsidRPr="003D4979">
              <w:rPr>
                <w:b/>
                <w:color w:val="000000"/>
              </w:rPr>
              <w:t>'</w:t>
            </w:r>
            <w:r w:rsidR="00E506FD" w:rsidRPr="00E506FD">
              <w:rPr>
                <w:vertAlign w:val="subscript"/>
              </w:rPr>
              <w:t>t-1</w:t>
            </w:r>
          </w:p>
        </w:tc>
        <w:tc>
          <w:tcPr>
            <w:tcW w:w="0" w:type="auto"/>
            <w:tcBorders>
              <w:top w:val="nil"/>
              <w:left w:val="nil"/>
              <w:bottom w:val="single" w:sz="12" w:space="0" w:color="auto"/>
              <w:right w:val="nil"/>
            </w:tcBorders>
            <w:shd w:val="clear" w:color="auto" w:fill="auto"/>
            <w:noWrap/>
            <w:vAlign w:val="center"/>
          </w:tcPr>
          <w:p w:rsidR="000D4BF4" w:rsidRPr="0048014D" w:rsidRDefault="000D4BF4" w:rsidP="00666F68">
            <w:pPr>
              <w:overflowPunct/>
              <w:autoSpaceDE/>
              <w:autoSpaceDN/>
              <w:adjustRightInd/>
              <w:spacing w:after="60"/>
              <w:jc w:val="right"/>
              <w:textAlignment w:val="auto"/>
              <w:rPr>
                <w:color w:val="000000"/>
              </w:rPr>
            </w:pPr>
          </w:p>
        </w:tc>
        <w:tc>
          <w:tcPr>
            <w:tcW w:w="0" w:type="auto"/>
            <w:tcBorders>
              <w:top w:val="nil"/>
              <w:left w:val="nil"/>
              <w:bottom w:val="single" w:sz="12" w:space="0" w:color="auto"/>
              <w:right w:val="nil"/>
            </w:tcBorders>
            <w:shd w:val="clear" w:color="auto" w:fill="auto"/>
            <w:noWrap/>
            <w:vAlign w:val="center"/>
            <w:hideMark/>
          </w:tcPr>
          <w:p w:rsidR="000D4BF4" w:rsidRPr="0048014D" w:rsidRDefault="000D4BF4" w:rsidP="00666F68">
            <w:pPr>
              <w:overflowPunct/>
              <w:autoSpaceDE/>
              <w:autoSpaceDN/>
              <w:adjustRightInd/>
              <w:spacing w:after="60"/>
              <w:jc w:val="right"/>
              <w:textAlignment w:val="auto"/>
              <w:rPr>
                <w:color w:val="000000"/>
              </w:rPr>
            </w:pPr>
            <w:r w:rsidRPr="0048014D">
              <w:rPr>
                <w:color w:val="000000"/>
              </w:rPr>
              <w:t> </w:t>
            </w:r>
          </w:p>
        </w:tc>
        <w:tc>
          <w:tcPr>
            <w:tcW w:w="0" w:type="auto"/>
            <w:tcBorders>
              <w:top w:val="nil"/>
              <w:left w:val="nil"/>
              <w:bottom w:val="single" w:sz="12" w:space="0" w:color="auto"/>
              <w:right w:val="nil"/>
            </w:tcBorders>
            <w:shd w:val="clear" w:color="auto" w:fill="auto"/>
            <w:noWrap/>
            <w:vAlign w:val="center"/>
            <w:hideMark/>
          </w:tcPr>
          <w:p w:rsidR="000D4BF4" w:rsidRPr="0048014D" w:rsidRDefault="000D4BF4" w:rsidP="00666F68">
            <w:pPr>
              <w:overflowPunct/>
              <w:autoSpaceDE/>
              <w:autoSpaceDN/>
              <w:adjustRightInd/>
              <w:spacing w:after="60"/>
              <w:jc w:val="right"/>
              <w:textAlignment w:val="auto"/>
              <w:rPr>
                <w:color w:val="000000"/>
              </w:rPr>
            </w:pPr>
            <w:r w:rsidRPr="0048014D">
              <w:rPr>
                <w:color w:val="000000"/>
              </w:rPr>
              <w:t> </w:t>
            </w:r>
          </w:p>
        </w:tc>
        <w:tc>
          <w:tcPr>
            <w:tcW w:w="0" w:type="auto"/>
            <w:tcBorders>
              <w:top w:val="nil"/>
              <w:left w:val="nil"/>
              <w:bottom w:val="single" w:sz="12" w:space="0" w:color="auto"/>
              <w:right w:val="nil"/>
            </w:tcBorders>
            <w:shd w:val="clear" w:color="auto" w:fill="auto"/>
            <w:noWrap/>
            <w:vAlign w:val="center"/>
            <w:hideMark/>
          </w:tcPr>
          <w:p w:rsidR="000D4BF4" w:rsidRPr="0048014D" w:rsidRDefault="000D4BF4" w:rsidP="00666F68">
            <w:pPr>
              <w:overflowPunct/>
              <w:autoSpaceDE/>
              <w:autoSpaceDN/>
              <w:adjustRightInd/>
              <w:spacing w:after="60"/>
              <w:jc w:val="right"/>
              <w:textAlignment w:val="auto"/>
              <w:rPr>
                <w:color w:val="000000"/>
              </w:rPr>
            </w:pPr>
            <w:r w:rsidRPr="0048014D">
              <w:rPr>
                <w:color w:val="000000"/>
              </w:rPr>
              <w:t> </w:t>
            </w:r>
          </w:p>
        </w:tc>
        <w:tc>
          <w:tcPr>
            <w:tcW w:w="0" w:type="auto"/>
            <w:tcBorders>
              <w:top w:val="nil"/>
              <w:left w:val="nil"/>
              <w:bottom w:val="single" w:sz="12" w:space="0" w:color="auto"/>
              <w:right w:val="nil"/>
            </w:tcBorders>
            <w:shd w:val="clear" w:color="auto" w:fill="auto"/>
            <w:noWrap/>
            <w:vAlign w:val="center"/>
            <w:hideMark/>
          </w:tcPr>
          <w:p w:rsidR="000D4BF4" w:rsidRPr="0048014D" w:rsidRDefault="000D4BF4" w:rsidP="00666F68">
            <w:pPr>
              <w:overflowPunct/>
              <w:autoSpaceDE/>
              <w:autoSpaceDN/>
              <w:adjustRightInd/>
              <w:spacing w:after="60"/>
              <w:jc w:val="right"/>
              <w:textAlignment w:val="auto"/>
              <w:rPr>
                <w:color w:val="000000"/>
              </w:rPr>
            </w:pPr>
            <w:r w:rsidRPr="0048014D">
              <w:rPr>
                <w:color w:val="000000"/>
              </w:rPr>
              <w:t> </w:t>
            </w:r>
          </w:p>
        </w:tc>
        <w:tc>
          <w:tcPr>
            <w:tcW w:w="0" w:type="auto"/>
            <w:tcBorders>
              <w:top w:val="nil"/>
              <w:left w:val="nil"/>
              <w:bottom w:val="single" w:sz="12" w:space="0" w:color="auto"/>
              <w:right w:val="nil"/>
            </w:tcBorders>
            <w:shd w:val="clear" w:color="auto" w:fill="auto"/>
            <w:noWrap/>
            <w:vAlign w:val="center"/>
            <w:hideMark/>
          </w:tcPr>
          <w:p w:rsidR="000D4BF4" w:rsidRPr="0048014D" w:rsidRDefault="000D4BF4" w:rsidP="00666F68">
            <w:pPr>
              <w:overflowPunct/>
              <w:autoSpaceDE/>
              <w:autoSpaceDN/>
              <w:adjustRightInd/>
              <w:spacing w:after="60"/>
              <w:jc w:val="right"/>
              <w:textAlignment w:val="auto"/>
              <w:rPr>
                <w:color w:val="000000"/>
              </w:rPr>
            </w:pPr>
            <w:r w:rsidRPr="0048014D">
              <w:rPr>
                <w:color w:val="000000"/>
              </w:rPr>
              <w:t> </w:t>
            </w:r>
          </w:p>
        </w:tc>
        <w:tc>
          <w:tcPr>
            <w:tcW w:w="0" w:type="auto"/>
            <w:tcBorders>
              <w:top w:val="nil"/>
              <w:left w:val="nil"/>
              <w:bottom w:val="single" w:sz="12" w:space="0" w:color="auto"/>
              <w:right w:val="nil"/>
            </w:tcBorders>
            <w:shd w:val="clear" w:color="auto" w:fill="auto"/>
            <w:noWrap/>
            <w:vAlign w:val="center"/>
            <w:hideMark/>
          </w:tcPr>
          <w:p w:rsidR="000D4BF4" w:rsidRPr="0048014D" w:rsidRDefault="000D4BF4" w:rsidP="00666F68">
            <w:pPr>
              <w:overflowPunct/>
              <w:autoSpaceDE/>
              <w:autoSpaceDN/>
              <w:adjustRightInd/>
              <w:spacing w:after="60"/>
              <w:jc w:val="right"/>
              <w:textAlignment w:val="auto"/>
              <w:rPr>
                <w:color w:val="000000"/>
              </w:rPr>
            </w:pPr>
            <w:r w:rsidRPr="0048014D">
              <w:rPr>
                <w:color w:val="000000"/>
              </w:rPr>
              <w:t>3%</w:t>
            </w:r>
          </w:p>
        </w:tc>
        <w:tc>
          <w:tcPr>
            <w:tcW w:w="0" w:type="auto"/>
            <w:tcBorders>
              <w:top w:val="nil"/>
              <w:left w:val="nil"/>
              <w:bottom w:val="single" w:sz="12" w:space="0" w:color="auto"/>
              <w:right w:val="nil"/>
            </w:tcBorders>
            <w:shd w:val="clear" w:color="auto" w:fill="auto"/>
            <w:noWrap/>
            <w:vAlign w:val="center"/>
            <w:hideMark/>
          </w:tcPr>
          <w:p w:rsidR="000D4BF4" w:rsidRPr="0048014D" w:rsidRDefault="000D4BF4" w:rsidP="00666F68">
            <w:pPr>
              <w:overflowPunct/>
              <w:autoSpaceDE/>
              <w:autoSpaceDN/>
              <w:adjustRightInd/>
              <w:spacing w:after="60"/>
              <w:jc w:val="right"/>
              <w:textAlignment w:val="auto"/>
              <w:rPr>
                <w:color w:val="000000"/>
              </w:rPr>
            </w:pPr>
            <w:r w:rsidRPr="0048014D">
              <w:rPr>
                <w:color w:val="000000"/>
              </w:rPr>
              <w:t>4%</w:t>
            </w:r>
          </w:p>
        </w:tc>
        <w:tc>
          <w:tcPr>
            <w:tcW w:w="0" w:type="auto"/>
            <w:tcBorders>
              <w:top w:val="nil"/>
              <w:left w:val="nil"/>
              <w:bottom w:val="single" w:sz="12" w:space="0" w:color="auto"/>
              <w:right w:val="nil"/>
            </w:tcBorders>
            <w:shd w:val="clear" w:color="auto" w:fill="auto"/>
            <w:noWrap/>
            <w:vAlign w:val="center"/>
            <w:hideMark/>
          </w:tcPr>
          <w:p w:rsidR="000D4BF4" w:rsidRPr="0048014D" w:rsidRDefault="00376920" w:rsidP="00666F68">
            <w:pPr>
              <w:overflowPunct/>
              <w:autoSpaceDE/>
              <w:autoSpaceDN/>
              <w:adjustRightInd/>
              <w:spacing w:after="60"/>
              <w:textAlignment w:val="auto"/>
              <w:rPr>
                <w:color w:val="000000"/>
              </w:rPr>
            </w:pPr>
            <w:r>
              <w:rPr>
                <w:color w:val="000000"/>
              </w:rPr>
              <w:t xml:space="preserve">  </w:t>
            </w:r>
            <w:r w:rsidR="000D4BF4" w:rsidRPr="0048014D">
              <w:rPr>
                <w:color w:val="000000"/>
              </w:rPr>
              <w:t>9%</w:t>
            </w:r>
          </w:p>
        </w:tc>
      </w:tr>
    </w:tbl>
    <w:p w:rsidR="00666F68" w:rsidRDefault="00666F68" w:rsidP="00EB5824">
      <w:pPr>
        <w:overflowPunct/>
        <w:autoSpaceDE/>
        <w:autoSpaceDN/>
        <w:adjustRightInd/>
        <w:spacing w:before="120" w:line="216" w:lineRule="auto"/>
        <w:ind w:right="720"/>
        <w:jc w:val="both"/>
        <w:textAlignment w:val="auto"/>
      </w:pPr>
      <w:r w:rsidRPr="001B687A">
        <w:rPr>
          <w:i/>
        </w:rPr>
        <w:t>Notes:</w:t>
      </w:r>
      <w:r w:rsidRPr="001B687A">
        <w:t xml:space="preserve"> This table presents </w:t>
      </w:r>
      <w:r>
        <w:t xml:space="preserve">results </w:t>
      </w:r>
      <w:r w:rsidR="00CF1077">
        <w:t xml:space="preserve">for three alternative specifications </w:t>
      </w:r>
      <w:r>
        <w:t>of the VAR:4</w:t>
      </w:r>
      <w:r w:rsidR="00CF1077">
        <w:t xml:space="preserve"> model</w:t>
      </w:r>
      <w:r>
        <w:t>.</w:t>
      </w:r>
      <w:r w:rsidR="00CF1077">
        <w:t xml:space="preserve"> In Alternate I, Income Returns is replaced by Cap Rates</w:t>
      </w:r>
      <w:r w:rsidR="00E506FD">
        <w:t xml:space="preserve"> – collected from NCREIF for all property types and all regions</w:t>
      </w:r>
      <w:r w:rsidR="00CF1077">
        <w:t>. In Alternate II, Income Returns is replaced by its expected value, E{Income Returns}</w:t>
      </w:r>
      <w:r w:rsidR="00E506FD">
        <w:t xml:space="preserve"> – which is the four quarter ahead forecast for Income Returns based on </w:t>
      </w:r>
      <w:r w:rsidR="00E52194">
        <w:t xml:space="preserve">its </w:t>
      </w:r>
      <w:r w:rsidR="00E506FD">
        <w:t>autoregressive process with four lags and one moving average term</w:t>
      </w:r>
      <w:r w:rsidR="00CF1077">
        <w:t>.</w:t>
      </w:r>
      <w:r>
        <w:t xml:space="preserve"> </w:t>
      </w:r>
      <w:r w:rsidR="00CF1077">
        <w:t>In Alternate III, Volume is replaced by CRE Lending Index</w:t>
      </w:r>
      <w:r w:rsidR="00CF1077" w:rsidRPr="003D4979">
        <w:rPr>
          <w:b/>
          <w:color w:val="000000"/>
        </w:rPr>
        <w:t>'</w:t>
      </w:r>
      <w:r w:rsidR="003E0958">
        <w:rPr>
          <w:b/>
          <w:color w:val="000000"/>
        </w:rPr>
        <w:t xml:space="preserve"> –</w:t>
      </w:r>
      <w:r w:rsidR="008B16D5">
        <w:rPr>
          <w:b/>
          <w:color w:val="000000"/>
        </w:rPr>
        <w:t xml:space="preserve"> </w:t>
      </w:r>
      <w:r w:rsidR="003E0958" w:rsidRPr="00F244ED">
        <w:t xml:space="preserve">constructed from the principal components of the four following underwriting measures: </w:t>
      </w:r>
      <w:r w:rsidR="003E0958">
        <w:t>CRE Debt</w:t>
      </w:r>
      <w:r w:rsidR="003E0958" w:rsidRPr="00F244ED">
        <w:t>, Volume, CRE Mtg Flows</w:t>
      </w:r>
      <w:r w:rsidR="003E0958">
        <w:t>, and CRE Spread</w:t>
      </w:r>
      <w:r w:rsidR="003E0958" w:rsidRPr="00F244ED">
        <w:t>.</w:t>
      </w:r>
      <w:r w:rsidR="00CF1077">
        <w:t xml:space="preserve"> Panel A </w:t>
      </w:r>
      <w:r>
        <w:t xml:space="preserve">displays the </w:t>
      </w:r>
      <w:r w:rsidR="00CF1077">
        <w:t>parameter estimates (Coefficient)</w:t>
      </w:r>
      <w:r>
        <w:t xml:space="preserve">, along with the corresponding t-statistic in parentheses. </w:t>
      </w:r>
      <w:r w:rsidRPr="001B687A">
        <w:rPr>
          <w:vertAlign w:val="superscript"/>
        </w:rPr>
        <w:t>***</w:t>
      </w:r>
      <w:r>
        <w:t xml:space="preserve"> indicate</w:t>
      </w:r>
      <w:r w:rsidR="00CF1077">
        <w:t>s</w:t>
      </w:r>
      <w:r>
        <w:t xml:space="preserve"> statistically significant coefficients at the 1%</w:t>
      </w:r>
      <w:r w:rsidR="00CF1077">
        <w:t xml:space="preserve"> level</w:t>
      </w:r>
      <w:r>
        <w:t xml:space="preserve">. </w:t>
      </w:r>
      <w:r w:rsidR="00CF1077">
        <w:t>Panel B displays the variance decompositions</w:t>
      </w:r>
      <w:r w:rsidR="00EB5824">
        <w:t xml:space="preserve"> from these alternate estimations. T</w:t>
      </w:r>
      <w:r w:rsidRPr="002C3FC9">
        <w:t xml:space="preserve">he percentage of forecast error variance of </w:t>
      </w:r>
      <w:r w:rsidR="00EB5824" w:rsidRPr="00EB5824">
        <w:t>Capital Gains</w:t>
      </w:r>
      <w:r w:rsidR="00EB5824">
        <w:t xml:space="preserve"> </w:t>
      </w:r>
      <w:r w:rsidRPr="002C3FC9">
        <w:t>that is explain</w:t>
      </w:r>
      <w:r w:rsidR="00EB5824">
        <w:t>ed</w:t>
      </w:r>
      <w:r w:rsidRPr="002C3FC9">
        <w:t xml:space="preserve"> by past realized values of the row variables</w:t>
      </w:r>
      <w:r w:rsidR="00EB5824">
        <w:t xml:space="preserve"> is reported</w:t>
      </w:r>
      <w:r w:rsidRPr="002C3FC9">
        <w:t xml:space="preserve">. </w:t>
      </w:r>
      <w:r w:rsidR="00EB5824">
        <w:t>The forecast period is quarters</w:t>
      </w:r>
      <w:r w:rsidR="00FF5F8C">
        <w:t xml:space="preserve"> with </w:t>
      </w:r>
      <w:r w:rsidR="00EB5824">
        <w:t>results shown for the forecast error variance of 4, 8, and 12 quarters ahead. All estimations are for</w:t>
      </w:r>
      <w:r>
        <w:t xml:space="preserve"> the specification </w:t>
      </w:r>
      <w:r w:rsidR="00EB5824">
        <w:t xml:space="preserve">with </w:t>
      </w:r>
      <w:r>
        <w:t>only endogenous variables included</w:t>
      </w:r>
      <w:r w:rsidR="00FF5F8C">
        <w:t>;</w:t>
      </w:r>
      <w:r w:rsidR="00EB5824">
        <w:t xml:space="preserve"> the only results reported in the Table above are for the equation with Capital Gains as the dependent variable</w:t>
      </w:r>
      <w:r>
        <w:t xml:space="preserve">. </w:t>
      </w:r>
    </w:p>
    <w:p w:rsidR="00666F68" w:rsidRDefault="00666F68" w:rsidP="000D4BF4">
      <w:pPr>
        <w:overflowPunct/>
        <w:autoSpaceDE/>
        <w:autoSpaceDN/>
        <w:adjustRightInd/>
        <w:textAlignment w:val="auto"/>
      </w:pPr>
    </w:p>
    <w:p w:rsidR="000D4BF4" w:rsidRDefault="000D4BF4" w:rsidP="00B537C1">
      <w:pPr>
        <w:overflowPunct/>
        <w:autoSpaceDE/>
        <w:autoSpaceDN/>
        <w:adjustRightInd/>
        <w:textAlignment w:val="auto"/>
        <w:rPr>
          <w:b/>
          <w:sz w:val="22"/>
          <w:szCs w:val="22"/>
        </w:rPr>
      </w:pPr>
    </w:p>
    <w:p w:rsidR="000D4BF4" w:rsidRDefault="000D4BF4" w:rsidP="00B537C1">
      <w:pPr>
        <w:overflowPunct/>
        <w:autoSpaceDE/>
        <w:autoSpaceDN/>
        <w:adjustRightInd/>
        <w:textAlignment w:val="auto"/>
        <w:rPr>
          <w:b/>
          <w:sz w:val="22"/>
          <w:szCs w:val="22"/>
        </w:rPr>
      </w:pPr>
    </w:p>
    <w:p w:rsidR="000D4BF4" w:rsidRDefault="000D4BF4">
      <w:pPr>
        <w:overflowPunct/>
        <w:autoSpaceDE/>
        <w:autoSpaceDN/>
        <w:adjustRightInd/>
        <w:spacing w:after="200" w:line="276" w:lineRule="auto"/>
        <w:textAlignment w:val="auto"/>
        <w:rPr>
          <w:b/>
          <w:sz w:val="22"/>
          <w:szCs w:val="22"/>
        </w:rPr>
      </w:pPr>
      <w:r>
        <w:rPr>
          <w:b/>
          <w:sz w:val="22"/>
          <w:szCs w:val="22"/>
        </w:rPr>
        <w:br w:type="page"/>
      </w:r>
    </w:p>
    <w:p w:rsidR="0043631F" w:rsidRDefault="000D4BF4" w:rsidP="00B537C1">
      <w:pPr>
        <w:overflowPunct/>
        <w:autoSpaceDE/>
        <w:autoSpaceDN/>
        <w:adjustRightInd/>
        <w:textAlignment w:val="auto"/>
        <w:rPr>
          <w:sz w:val="22"/>
          <w:szCs w:val="22"/>
        </w:rPr>
      </w:pPr>
      <w:r>
        <w:rPr>
          <w:b/>
          <w:sz w:val="22"/>
          <w:szCs w:val="22"/>
        </w:rPr>
        <w:t>Appendix Table A2</w:t>
      </w:r>
      <w:r w:rsidR="0043631F">
        <w:rPr>
          <w:b/>
          <w:sz w:val="22"/>
          <w:szCs w:val="22"/>
        </w:rPr>
        <w:t xml:space="preserve">.  </w:t>
      </w:r>
      <w:r w:rsidR="00EC4C1C">
        <w:rPr>
          <w:sz w:val="22"/>
          <w:szCs w:val="22"/>
        </w:rPr>
        <w:t xml:space="preserve">Alternate </w:t>
      </w:r>
      <w:r w:rsidR="0043631F">
        <w:rPr>
          <w:sz w:val="22"/>
          <w:szCs w:val="22"/>
        </w:rPr>
        <w:t>data</w:t>
      </w:r>
      <w:r w:rsidR="00EC4C1C">
        <w:rPr>
          <w:sz w:val="22"/>
          <w:szCs w:val="22"/>
        </w:rPr>
        <w:t>:</w:t>
      </w:r>
      <w:r w:rsidR="00666F68">
        <w:rPr>
          <w:sz w:val="22"/>
          <w:szCs w:val="22"/>
        </w:rPr>
        <w:t xml:space="preserve"> </w:t>
      </w:r>
      <w:r w:rsidR="00EC4C1C">
        <w:rPr>
          <w:sz w:val="22"/>
          <w:szCs w:val="22"/>
        </w:rPr>
        <w:t>Real Capital Analytics, VAR:4 models</w:t>
      </w:r>
    </w:p>
    <w:p w:rsidR="0043631F" w:rsidRDefault="0043631F" w:rsidP="00B537C1">
      <w:pPr>
        <w:overflowPunct/>
        <w:autoSpaceDE/>
        <w:autoSpaceDN/>
        <w:adjustRightInd/>
        <w:textAlignment w:val="auto"/>
        <w:rPr>
          <w:sz w:val="22"/>
          <w:szCs w:val="22"/>
        </w:rPr>
      </w:pPr>
    </w:p>
    <w:tbl>
      <w:tblPr>
        <w:tblW w:w="8431" w:type="dxa"/>
        <w:tblInd w:w="93" w:type="dxa"/>
        <w:tblLook w:val="04A0"/>
      </w:tblPr>
      <w:tblGrid>
        <w:gridCol w:w="1633"/>
        <w:gridCol w:w="833"/>
        <w:gridCol w:w="583"/>
        <w:gridCol w:w="850"/>
        <w:gridCol w:w="833"/>
        <w:gridCol w:w="583"/>
        <w:gridCol w:w="850"/>
        <w:gridCol w:w="833"/>
        <w:gridCol w:w="583"/>
        <w:gridCol w:w="850"/>
      </w:tblGrid>
      <w:tr w:rsidR="0043631F" w:rsidRPr="0043631F" w:rsidTr="000D4BF4">
        <w:trPr>
          <w:trHeight w:val="20"/>
        </w:trPr>
        <w:tc>
          <w:tcPr>
            <w:tcW w:w="8431" w:type="dxa"/>
            <w:gridSpan w:val="10"/>
            <w:tcBorders>
              <w:top w:val="single" w:sz="12" w:space="0" w:color="auto"/>
              <w:left w:val="nil"/>
              <w:bottom w:val="nil"/>
              <w:right w:val="nil"/>
            </w:tcBorders>
            <w:shd w:val="clear" w:color="auto" w:fill="auto"/>
            <w:noWrap/>
            <w:vAlign w:val="center"/>
            <w:hideMark/>
          </w:tcPr>
          <w:p w:rsidR="0043631F" w:rsidRPr="0043631F" w:rsidRDefault="0043631F" w:rsidP="00EC4C1C">
            <w:pPr>
              <w:overflowPunct/>
              <w:autoSpaceDE/>
              <w:autoSpaceDN/>
              <w:adjustRightInd/>
              <w:spacing w:before="80"/>
              <w:textAlignment w:val="auto"/>
              <w:rPr>
                <w:b/>
                <w:bCs/>
                <w:color w:val="000000"/>
              </w:rPr>
            </w:pPr>
            <w:r w:rsidRPr="0043631F">
              <w:rPr>
                <w:b/>
                <w:bCs/>
                <w:color w:val="000000"/>
              </w:rPr>
              <w:t xml:space="preserve">Panel A.  </w:t>
            </w:r>
            <w:r w:rsidRPr="0043631F">
              <w:rPr>
                <w:color w:val="000000"/>
              </w:rPr>
              <w:t xml:space="preserve">Four endogenous </w:t>
            </w:r>
            <w:r w:rsidR="00BE78A5">
              <w:rPr>
                <w:color w:val="000000"/>
              </w:rPr>
              <w:t>only</w:t>
            </w:r>
          </w:p>
        </w:tc>
      </w:tr>
      <w:tr w:rsidR="0043631F" w:rsidRPr="0043631F" w:rsidTr="000D4BF4">
        <w:trPr>
          <w:trHeight w:val="20"/>
        </w:trPr>
        <w:tc>
          <w:tcPr>
            <w:tcW w:w="1633" w:type="dxa"/>
            <w:tcBorders>
              <w:top w:val="nil"/>
              <w:left w:val="nil"/>
              <w:bottom w:val="nil"/>
              <w:right w:val="nil"/>
            </w:tcBorders>
            <w:shd w:val="clear" w:color="auto" w:fill="auto"/>
            <w:noWrap/>
            <w:vAlign w:val="center"/>
            <w:hideMark/>
          </w:tcPr>
          <w:p w:rsidR="0043631F" w:rsidRPr="0043631F" w:rsidRDefault="0043631F" w:rsidP="00666F68">
            <w:pPr>
              <w:overflowPunct/>
              <w:autoSpaceDE/>
              <w:autoSpaceDN/>
              <w:adjustRightInd/>
              <w:spacing w:before="20" w:after="20"/>
              <w:jc w:val="right"/>
              <w:textAlignment w:val="auto"/>
              <w:rPr>
                <w:color w:val="000000"/>
              </w:rPr>
            </w:pPr>
            <w:r w:rsidRPr="0043631F">
              <w:rPr>
                <w:color w:val="000000"/>
              </w:rPr>
              <w:t>Sector:</w:t>
            </w:r>
          </w:p>
        </w:tc>
        <w:tc>
          <w:tcPr>
            <w:tcW w:w="2266" w:type="dxa"/>
            <w:gridSpan w:val="3"/>
            <w:tcBorders>
              <w:top w:val="nil"/>
              <w:left w:val="nil"/>
              <w:bottom w:val="nil"/>
              <w:right w:val="nil"/>
            </w:tcBorders>
            <w:shd w:val="clear" w:color="auto" w:fill="auto"/>
            <w:noWrap/>
            <w:vAlign w:val="center"/>
            <w:hideMark/>
          </w:tcPr>
          <w:p w:rsidR="0043631F" w:rsidRPr="0043631F" w:rsidRDefault="0043631F" w:rsidP="00666F68">
            <w:pPr>
              <w:overflowPunct/>
              <w:autoSpaceDE/>
              <w:autoSpaceDN/>
              <w:adjustRightInd/>
              <w:spacing w:before="20" w:after="20"/>
              <w:jc w:val="center"/>
              <w:textAlignment w:val="auto"/>
              <w:rPr>
                <w:b/>
                <w:bCs/>
                <w:color w:val="000000"/>
              </w:rPr>
            </w:pPr>
            <w:r w:rsidRPr="0043631F">
              <w:rPr>
                <w:b/>
                <w:bCs/>
                <w:color w:val="000000"/>
              </w:rPr>
              <w:t>Office</w:t>
            </w:r>
          </w:p>
        </w:tc>
        <w:tc>
          <w:tcPr>
            <w:tcW w:w="2266" w:type="dxa"/>
            <w:gridSpan w:val="3"/>
            <w:tcBorders>
              <w:top w:val="nil"/>
              <w:left w:val="nil"/>
              <w:bottom w:val="nil"/>
              <w:right w:val="nil"/>
            </w:tcBorders>
            <w:shd w:val="clear" w:color="auto" w:fill="auto"/>
            <w:noWrap/>
            <w:vAlign w:val="center"/>
            <w:hideMark/>
          </w:tcPr>
          <w:p w:rsidR="0043631F" w:rsidRPr="0043631F" w:rsidRDefault="0043631F" w:rsidP="00666F68">
            <w:pPr>
              <w:overflowPunct/>
              <w:autoSpaceDE/>
              <w:autoSpaceDN/>
              <w:adjustRightInd/>
              <w:spacing w:before="20" w:after="20"/>
              <w:jc w:val="center"/>
              <w:textAlignment w:val="auto"/>
              <w:rPr>
                <w:b/>
                <w:bCs/>
                <w:color w:val="000000"/>
              </w:rPr>
            </w:pPr>
            <w:r w:rsidRPr="0043631F">
              <w:rPr>
                <w:b/>
                <w:bCs/>
                <w:color w:val="000000"/>
              </w:rPr>
              <w:t>Industrial</w:t>
            </w:r>
          </w:p>
        </w:tc>
        <w:tc>
          <w:tcPr>
            <w:tcW w:w="2266" w:type="dxa"/>
            <w:gridSpan w:val="3"/>
            <w:tcBorders>
              <w:top w:val="nil"/>
              <w:left w:val="nil"/>
              <w:bottom w:val="nil"/>
              <w:right w:val="nil"/>
            </w:tcBorders>
            <w:shd w:val="clear" w:color="auto" w:fill="auto"/>
            <w:noWrap/>
            <w:vAlign w:val="center"/>
            <w:hideMark/>
          </w:tcPr>
          <w:p w:rsidR="0043631F" w:rsidRPr="0043631F" w:rsidRDefault="0043631F" w:rsidP="00666F68">
            <w:pPr>
              <w:overflowPunct/>
              <w:autoSpaceDE/>
              <w:autoSpaceDN/>
              <w:adjustRightInd/>
              <w:spacing w:before="20" w:after="20"/>
              <w:jc w:val="center"/>
              <w:textAlignment w:val="auto"/>
              <w:rPr>
                <w:b/>
                <w:bCs/>
                <w:color w:val="000000"/>
              </w:rPr>
            </w:pPr>
            <w:r w:rsidRPr="0043631F">
              <w:rPr>
                <w:b/>
                <w:bCs/>
                <w:color w:val="000000"/>
              </w:rPr>
              <w:t>Retail</w:t>
            </w:r>
          </w:p>
        </w:tc>
      </w:tr>
      <w:tr w:rsidR="0043631F" w:rsidRPr="0043631F" w:rsidTr="000D4BF4">
        <w:trPr>
          <w:trHeight w:val="20"/>
        </w:trPr>
        <w:tc>
          <w:tcPr>
            <w:tcW w:w="1633" w:type="dxa"/>
            <w:tcBorders>
              <w:top w:val="nil"/>
              <w:left w:val="nil"/>
              <w:bottom w:val="nil"/>
              <w:right w:val="nil"/>
            </w:tcBorders>
            <w:shd w:val="clear" w:color="auto" w:fill="auto"/>
            <w:noWrap/>
            <w:vAlign w:val="center"/>
            <w:hideMark/>
          </w:tcPr>
          <w:p w:rsidR="0043631F" w:rsidRPr="0043631F" w:rsidRDefault="0043631F" w:rsidP="0043631F">
            <w:pPr>
              <w:overflowPunct/>
              <w:autoSpaceDE/>
              <w:autoSpaceDN/>
              <w:adjustRightInd/>
              <w:jc w:val="right"/>
              <w:textAlignment w:val="auto"/>
              <w:rPr>
                <w:color w:val="000000"/>
              </w:rPr>
            </w:pPr>
            <w:r w:rsidRPr="0043631F">
              <w:rPr>
                <w:color w:val="000000"/>
              </w:rPr>
              <w:t>Model:</w:t>
            </w:r>
          </w:p>
        </w:tc>
        <w:tc>
          <w:tcPr>
            <w:tcW w:w="2266" w:type="dxa"/>
            <w:gridSpan w:val="3"/>
            <w:tcBorders>
              <w:top w:val="nil"/>
              <w:left w:val="nil"/>
              <w:bottom w:val="nil"/>
              <w:right w:val="nil"/>
            </w:tcBorders>
            <w:shd w:val="clear" w:color="auto" w:fill="auto"/>
            <w:noWrap/>
            <w:vAlign w:val="center"/>
            <w:hideMark/>
          </w:tcPr>
          <w:p w:rsidR="0043631F" w:rsidRPr="0043631F" w:rsidRDefault="0043631F" w:rsidP="0043631F">
            <w:pPr>
              <w:overflowPunct/>
              <w:autoSpaceDE/>
              <w:autoSpaceDN/>
              <w:adjustRightInd/>
              <w:jc w:val="center"/>
              <w:textAlignment w:val="auto"/>
              <w:rPr>
                <w:i/>
                <w:iCs/>
                <w:color w:val="000000"/>
              </w:rPr>
            </w:pPr>
            <w:r w:rsidRPr="0043631F">
              <w:rPr>
                <w:i/>
                <w:iCs/>
                <w:color w:val="000000"/>
              </w:rPr>
              <w:t>Capital Gains</w:t>
            </w:r>
            <w:r w:rsidR="00FD516E" w:rsidRPr="003D4979">
              <w:rPr>
                <w:b/>
              </w:rPr>
              <w:t>'</w:t>
            </w:r>
          </w:p>
        </w:tc>
        <w:tc>
          <w:tcPr>
            <w:tcW w:w="2266" w:type="dxa"/>
            <w:gridSpan w:val="3"/>
            <w:tcBorders>
              <w:top w:val="nil"/>
              <w:left w:val="nil"/>
              <w:bottom w:val="nil"/>
              <w:right w:val="nil"/>
            </w:tcBorders>
            <w:shd w:val="clear" w:color="auto" w:fill="auto"/>
            <w:noWrap/>
            <w:vAlign w:val="center"/>
            <w:hideMark/>
          </w:tcPr>
          <w:p w:rsidR="0043631F" w:rsidRPr="0043631F" w:rsidRDefault="0043631F" w:rsidP="0043631F">
            <w:pPr>
              <w:overflowPunct/>
              <w:autoSpaceDE/>
              <w:autoSpaceDN/>
              <w:adjustRightInd/>
              <w:jc w:val="center"/>
              <w:textAlignment w:val="auto"/>
              <w:rPr>
                <w:i/>
                <w:iCs/>
                <w:color w:val="000000"/>
              </w:rPr>
            </w:pPr>
            <w:r w:rsidRPr="0043631F">
              <w:rPr>
                <w:i/>
                <w:iCs/>
                <w:color w:val="000000"/>
              </w:rPr>
              <w:t>Capital Gains</w:t>
            </w:r>
            <w:r w:rsidR="00FD516E" w:rsidRPr="003D4979">
              <w:rPr>
                <w:b/>
              </w:rPr>
              <w:t>'</w:t>
            </w:r>
          </w:p>
        </w:tc>
        <w:tc>
          <w:tcPr>
            <w:tcW w:w="2266" w:type="dxa"/>
            <w:gridSpan w:val="3"/>
            <w:tcBorders>
              <w:top w:val="nil"/>
              <w:left w:val="nil"/>
              <w:bottom w:val="nil"/>
              <w:right w:val="nil"/>
            </w:tcBorders>
            <w:shd w:val="clear" w:color="auto" w:fill="auto"/>
            <w:noWrap/>
            <w:vAlign w:val="center"/>
            <w:hideMark/>
          </w:tcPr>
          <w:p w:rsidR="0043631F" w:rsidRPr="0043631F" w:rsidRDefault="0043631F" w:rsidP="0043631F">
            <w:pPr>
              <w:overflowPunct/>
              <w:autoSpaceDE/>
              <w:autoSpaceDN/>
              <w:adjustRightInd/>
              <w:jc w:val="center"/>
              <w:textAlignment w:val="auto"/>
              <w:rPr>
                <w:i/>
                <w:iCs/>
                <w:color w:val="000000"/>
              </w:rPr>
            </w:pPr>
            <w:r w:rsidRPr="0043631F">
              <w:rPr>
                <w:i/>
                <w:iCs/>
                <w:color w:val="000000"/>
              </w:rPr>
              <w:t>Capital Gains</w:t>
            </w:r>
            <w:r w:rsidR="00FD516E" w:rsidRPr="003D4979">
              <w:rPr>
                <w:b/>
              </w:rPr>
              <w:t>'</w:t>
            </w:r>
          </w:p>
        </w:tc>
      </w:tr>
      <w:tr w:rsidR="0043631F" w:rsidRPr="0043631F" w:rsidTr="000D4BF4">
        <w:trPr>
          <w:trHeight w:val="20"/>
        </w:trPr>
        <w:tc>
          <w:tcPr>
            <w:tcW w:w="1633" w:type="dxa"/>
            <w:tcBorders>
              <w:top w:val="nil"/>
              <w:left w:val="nil"/>
              <w:bottom w:val="double" w:sz="6" w:space="0" w:color="auto"/>
              <w:right w:val="nil"/>
            </w:tcBorders>
            <w:shd w:val="clear" w:color="auto" w:fill="auto"/>
            <w:noWrap/>
            <w:vAlign w:val="center"/>
            <w:hideMark/>
          </w:tcPr>
          <w:p w:rsidR="0043631F" w:rsidRPr="0043631F" w:rsidRDefault="0043631F" w:rsidP="0043631F">
            <w:pPr>
              <w:overflowPunct/>
              <w:autoSpaceDE/>
              <w:autoSpaceDN/>
              <w:adjustRightInd/>
              <w:textAlignment w:val="auto"/>
              <w:rPr>
                <w:color w:val="000000"/>
              </w:rPr>
            </w:pPr>
            <w:r w:rsidRPr="0043631F">
              <w:rPr>
                <w:color w:val="000000"/>
              </w:rPr>
              <w:t>Variable</w:t>
            </w:r>
          </w:p>
        </w:tc>
        <w:tc>
          <w:tcPr>
            <w:tcW w:w="1416" w:type="dxa"/>
            <w:gridSpan w:val="2"/>
            <w:tcBorders>
              <w:top w:val="nil"/>
              <w:left w:val="nil"/>
              <w:bottom w:val="double" w:sz="6" w:space="0" w:color="auto"/>
              <w:right w:val="nil"/>
            </w:tcBorders>
            <w:shd w:val="clear" w:color="auto" w:fill="auto"/>
            <w:noWrap/>
            <w:vAlign w:val="center"/>
            <w:hideMark/>
          </w:tcPr>
          <w:p w:rsidR="0043631F" w:rsidRPr="0043631F" w:rsidRDefault="0043631F" w:rsidP="0043631F">
            <w:pPr>
              <w:overflowPunct/>
              <w:autoSpaceDE/>
              <w:autoSpaceDN/>
              <w:adjustRightInd/>
              <w:jc w:val="center"/>
              <w:textAlignment w:val="auto"/>
              <w:rPr>
                <w:color w:val="000000"/>
              </w:rPr>
            </w:pPr>
            <w:r w:rsidRPr="0043631F">
              <w:rPr>
                <w:color w:val="000000"/>
              </w:rPr>
              <w:t>Coef</w:t>
            </w:r>
            <w:r w:rsidR="00666F68">
              <w:rPr>
                <w:color w:val="000000"/>
              </w:rPr>
              <w:t>ficient</w:t>
            </w:r>
          </w:p>
        </w:tc>
        <w:tc>
          <w:tcPr>
            <w:tcW w:w="850" w:type="dxa"/>
            <w:tcBorders>
              <w:top w:val="nil"/>
              <w:left w:val="nil"/>
              <w:bottom w:val="double" w:sz="6" w:space="0" w:color="auto"/>
              <w:right w:val="nil"/>
            </w:tcBorders>
            <w:shd w:val="clear" w:color="auto" w:fill="auto"/>
            <w:noWrap/>
            <w:vAlign w:val="center"/>
            <w:hideMark/>
          </w:tcPr>
          <w:p w:rsidR="0043631F" w:rsidRPr="0043631F" w:rsidRDefault="000D4BF4" w:rsidP="000D4BF4">
            <w:pPr>
              <w:overflowPunct/>
              <w:autoSpaceDE/>
              <w:autoSpaceDN/>
              <w:adjustRightInd/>
              <w:textAlignment w:val="auto"/>
              <w:rPr>
                <w:color w:val="000000"/>
              </w:rPr>
            </w:pPr>
            <w:r>
              <w:rPr>
                <w:color w:val="000000"/>
              </w:rPr>
              <w:t>(</w:t>
            </w:r>
            <w:r w:rsidR="0043631F" w:rsidRPr="0043631F">
              <w:rPr>
                <w:color w:val="000000"/>
              </w:rPr>
              <w:t>t-stat</w:t>
            </w:r>
            <w:r>
              <w:rPr>
                <w:color w:val="000000"/>
              </w:rPr>
              <w:t>)</w:t>
            </w:r>
          </w:p>
        </w:tc>
        <w:tc>
          <w:tcPr>
            <w:tcW w:w="1416" w:type="dxa"/>
            <w:gridSpan w:val="2"/>
            <w:tcBorders>
              <w:top w:val="nil"/>
              <w:left w:val="nil"/>
              <w:bottom w:val="double" w:sz="6" w:space="0" w:color="auto"/>
              <w:right w:val="nil"/>
            </w:tcBorders>
            <w:shd w:val="clear" w:color="auto" w:fill="auto"/>
            <w:noWrap/>
            <w:vAlign w:val="center"/>
            <w:hideMark/>
          </w:tcPr>
          <w:p w:rsidR="0043631F" w:rsidRPr="0043631F" w:rsidRDefault="0043631F" w:rsidP="0043631F">
            <w:pPr>
              <w:overflowPunct/>
              <w:autoSpaceDE/>
              <w:autoSpaceDN/>
              <w:adjustRightInd/>
              <w:jc w:val="center"/>
              <w:textAlignment w:val="auto"/>
              <w:rPr>
                <w:color w:val="000000"/>
              </w:rPr>
            </w:pPr>
            <w:r w:rsidRPr="0043631F">
              <w:rPr>
                <w:color w:val="000000"/>
              </w:rPr>
              <w:t>Coef</w:t>
            </w:r>
            <w:r w:rsidR="00666F68">
              <w:rPr>
                <w:color w:val="000000"/>
              </w:rPr>
              <w:t>ficient</w:t>
            </w:r>
          </w:p>
        </w:tc>
        <w:tc>
          <w:tcPr>
            <w:tcW w:w="850" w:type="dxa"/>
            <w:tcBorders>
              <w:top w:val="nil"/>
              <w:left w:val="nil"/>
              <w:bottom w:val="double" w:sz="6" w:space="0" w:color="auto"/>
              <w:right w:val="nil"/>
            </w:tcBorders>
            <w:shd w:val="clear" w:color="auto" w:fill="auto"/>
            <w:noWrap/>
            <w:vAlign w:val="center"/>
            <w:hideMark/>
          </w:tcPr>
          <w:p w:rsidR="0043631F" w:rsidRPr="0043631F" w:rsidRDefault="000D4BF4" w:rsidP="000D4BF4">
            <w:pPr>
              <w:overflowPunct/>
              <w:autoSpaceDE/>
              <w:autoSpaceDN/>
              <w:adjustRightInd/>
              <w:textAlignment w:val="auto"/>
              <w:rPr>
                <w:color w:val="000000"/>
              </w:rPr>
            </w:pPr>
            <w:r>
              <w:rPr>
                <w:color w:val="000000"/>
              </w:rPr>
              <w:t>(</w:t>
            </w:r>
            <w:r w:rsidR="0043631F" w:rsidRPr="0043631F">
              <w:rPr>
                <w:color w:val="000000"/>
              </w:rPr>
              <w:t>t-stat</w:t>
            </w:r>
            <w:r>
              <w:rPr>
                <w:color w:val="000000"/>
              </w:rPr>
              <w:t>)</w:t>
            </w:r>
          </w:p>
        </w:tc>
        <w:tc>
          <w:tcPr>
            <w:tcW w:w="1416" w:type="dxa"/>
            <w:gridSpan w:val="2"/>
            <w:tcBorders>
              <w:top w:val="nil"/>
              <w:left w:val="nil"/>
              <w:bottom w:val="double" w:sz="6" w:space="0" w:color="auto"/>
              <w:right w:val="nil"/>
            </w:tcBorders>
            <w:shd w:val="clear" w:color="auto" w:fill="auto"/>
            <w:noWrap/>
            <w:vAlign w:val="center"/>
            <w:hideMark/>
          </w:tcPr>
          <w:p w:rsidR="0043631F" w:rsidRPr="0043631F" w:rsidRDefault="0043631F" w:rsidP="0043631F">
            <w:pPr>
              <w:overflowPunct/>
              <w:autoSpaceDE/>
              <w:autoSpaceDN/>
              <w:adjustRightInd/>
              <w:jc w:val="center"/>
              <w:textAlignment w:val="auto"/>
              <w:rPr>
                <w:color w:val="000000"/>
              </w:rPr>
            </w:pPr>
            <w:r w:rsidRPr="0043631F">
              <w:rPr>
                <w:color w:val="000000"/>
              </w:rPr>
              <w:t>Coef</w:t>
            </w:r>
            <w:r w:rsidR="00666F68">
              <w:rPr>
                <w:color w:val="000000"/>
              </w:rPr>
              <w:t>ficient</w:t>
            </w:r>
          </w:p>
        </w:tc>
        <w:tc>
          <w:tcPr>
            <w:tcW w:w="850" w:type="dxa"/>
            <w:tcBorders>
              <w:top w:val="nil"/>
              <w:left w:val="nil"/>
              <w:bottom w:val="double" w:sz="6" w:space="0" w:color="auto"/>
              <w:right w:val="nil"/>
            </w:tcBorders>
            <w:shd w:val="clear" w:color="auto" w:fill="auto"/>
            <w:noWrap/>
            <w:vAlign w:val="center"/>
            <w:hideMark/>
          </w:tcPr>
          <w:p w:rsidR="0043631F" w:rsidRPr="0043631F" w:rsidRDefault="000D4BF4" w:rsidP="000D4BF4">
            <w:pPr>
              <w:overflowPunct/>
              <w:autoSpaceDE/>
              <w:autoSpaceDN/>
              <w:adjustRightInd/>
              <w:textAlignment w:val="auto"/>
              <w:rPr>
                <w:color w:val="000000"/>
              </w:rPr>
            </w:pPr>
            <w:r>
              <w:rPr>
                <w:color w:val="000000"/>
              </w:rPr>
              <w:t>(</w:t>
            </w:r>
            <w:r w:rsidR="0043631F" w:rsidRPr="0043631F">
              <w:rPr>
                <w:color w:val="000000"/>
              </w:rPr>
              <w:t>t-stat</w:t>
            </w:r>
            <w:r>
              <w:rPr>
                <w:color w:val="000000"/>
              </w:rPr>
              <w:t>)</w:t>
            </w:r>
          </w:p>
        </w:tc>
      </w:tr>
      <w:tr w:rsidR="0043631F" w:rsidRPr="0043631F" w:rsidTr="000D4BF4">
        <w:trPr>
          <w:trHeight w:val="20"/>
        </w:trPr>
        <w:tc>
          <w:tcPr>
            <w:tcW w:w="1633" w:type="dxa"/>
            <w:tcBorders>
              <w:top w:val="nil"/>
              <w:left w:val="nil"/>
              <w:bottom w:val="nil"/>
              <w:right w:val="nil"/>
            </w:tcBorders>
            <w:shd w:val="clear" w:color="auto" w:fill="auto"/>
            <w:noWrap/>
            <w:vAlign w:val="center"/>
            <w:hideMark/>
          </w:tcPr>
          <w:p w:rsidR="0043631F" w:rsidRPr="0043631F" w:rsidRDefault="0043631F" w:rsidP="00666F68">
            <w:pPr>
              <w:overflowPunct/>
              <w:autoSpaceDE/>
              <w:autoSpaceDN/>
              <w:adjustRightInd/>
              <w:spacing w:before="60"/>
              <w:textAlignment w:val="auto"/>
              <w:rPr>
                <w:color w:val="000000"/>
              </w:rPr>
            </w:pPr>
            <w:r w:rsidRPr="0043631F">
              <w:rPr>
                <w:color w:val="000000"/>
              </w:rPr>
              <w:t>NOI Growth</w:t>
            </w:r>
          </w:p>
        </w:tc>
        <w:tc>
          <w:tcPr>
            <w:tcW w:w="833" w:type="dxa"/>
            <w:tcBorders>
              <w:top w:val="nil"/>
              <w:left w:val="nil"/>
              <w:bottom w:val="nil"/>
              <w:right w:val="nil"/>
            </w:tcBorders>
            <w:shd w:val="clear" w:color="auto" w:fill="auto"/>
            <w:noWrap/>
            <w:vAlign w:val="center"/>
            <w:hideMark/>
          </w:tcPr>
          <w:p w:rsidR="0043631F" w:rsidRPr="0043631F" w:rsidRDefault="0043631F" w:rsidP="00666F68">
            <w:pPr>
              <w:overflowPunct/>
              <w:autoSpaceDE/>
              <w:autoSpaceDN/>
              <w:adjustRightInd/>
              <w:spacing w:before="60"/>
              <w:ind w:right="-87"/>
              <w:jc w:val="right"/>
              <w:textAlignment w:val="auto"/>
              <w:rPr>
                <w:color w:val="000000"/>
              </w:rPr>
            </w:pPr>
            <w:r w:rsidRPr="0043631F">
              <w:rPr>
                <w:color w:val="000000"/>
              </w:rPr>
              <w:t>-0.032</w:t>
            </w:r>
          </w:p>
        </w:tc>
        <w:tc>
          <w:tcPr>
            <w:tcW w:w="583" w:type="dxa"/>
            <w:tcBorders>
              <w:top w:val="nil"/>
              <w:left w:val="nil"/>
              <w:bottom w:val="nil"/>
              <w:right w:val="nil"/>
            </w:tcBorders>
            <w:shd w:val="clear" w:color="auto" w:fill="auto"/>
            <w:noWrap/>
            <w:vAlign w:val="center"/>
            <w:hideMark/>
          </w:tcPr>
          <w:p w:rsidR="0043631F" w:rsidRPr="0043631F" w:rsidRDefault="0043631F" w:rsidP="00666F68">
            <w:pPr>
              <w:overflowPunct/>
              <w:autoSpaceDE/>
              <w:autoSpaceDN/>
              <w:adjustRightInd/>
              <w:spacing w:before="60"/>
              <w:ind w:left="-39"/>
              <w:textAlignment w:val="auto"/>
              <w:rPr>
                <w:color w:val="000000"/>
              </w:rPr>
            </w:pPr>
          </w:p>
        </w:tc>
        <w:tc>
          <w:tcPr>
            <w:tcW w:w="850" w:type="dxa"/>
            <w:tcBorders>
              <w:top w:val="nil"/>
              <w:left w:val="nil"/>
              <w:bottom w:val="nil"/>
              <w:right w:val="nil"/>
            </w:tcBorders>
            <w:shd w:val="clear" w:color="auto" w:fill="auto"/>
            <w:noWrap/>
            <w:vAlign w:val="center"/>
            <w:hideMark/>
          </w:tcPr>
          <w:p w:rsidR="0043631F" w:rsidRPr="0043631F" w:rsidRDefault="000D4BF4" w:rsidP="00666F68">
            <w:pPr>
              <w:overflowPunct/>
              <w:autoSpaceDE/>
              <w:autoSpaceDN/>
              <w:adjustRightInd/>
              <w:spacing w:before="60"/>
              <w:textAlignment w:val="auto"/>
              <w:rPr>
                <w:color w:val="000000"/>
              </w:rPr>
            </w:pPr>
            <w:r>
              <w:rPr>
                <w:color w:val="000000"/>
              </w:rPr>
              <w:t>(</w:t>
            </w:r>
            <w:r w:rsidR="0043631F" w:rsidRPr="0043631F">
              <w:rPr>
                <w:color w:val="000000"/>
              </w:rPr>
              <w:t>-0.7</w:t>
            </w:r>
            <w:r>
              <w:rPr>
                <w:color w:val="000000"/>
              </w:rPr>
              <w:t>)</w:t>
            </w:r>
          </w:p>
        </w:tc>
        <w:tc>
          <w:tcPr>
            <w:tcW w:w="833" w:type="dxa"/>
            <w:tcBorders>
              <w:top w:val="nil"/>
              <w:left w:val="nil"/>
              <w:bottom w:val="nil"/>
              <w:right w:val="nil"/>
            </w:tcBorders>
            <w:shd w:val="clear" w:color="auto" w:fill="auto"/>
            <w:noWrap/>
            <w:vAlign w:val="center"/>
            <w:hideMark/>
          </w:tcPr>
          <w:p w:rsidR="0043631F" w:rsidRPr="0043631F" w:rsidRDefault="0043631F" w:rsidP="00666F68">
            <w:pPr>
              <w:overflowPunct/>
              <w:autoSpaceDE/>
              <w:autoSpaceDN/>
              <w:adjustRightInd/>
              <w:spacing w:before="60"/>
              <w:ind w:right="-71"/>
              <w:jc w:val="right"/>
              <w:textAlignment w:val="auto"/>
              <w:rPr>
                <w:color w:val="000000"/>
              </w:rPr>
            </w:pPr>
            <w:r w:rsidRPr="0043631F">
              <w:rPr>
                <w:color w:val="000000"/>
              </w:rPr>
              <w:t>0.006</w:t>
            </w:r>
          </w:p>
        </w:tc>
        <w:tc>
          <w:tcPr>
            <w:tcW w:w="583" w:type="dxa"/>
            <w:tcBorders>
              <w:top w:val="nil"/>
              <w:left w:val="nil"/>
              <w:bottom w:val="nil"/>
              <w:right w:val="nil"/>
            </w:tcBorders>
            <w:shd w:val="clear" w:color="auto" w:fill="auto"/>
            <w:noWrap/>
            <w:vAlign w:val="bottom"/>
            <w:hideMark/>
          </w:tcPr>
          <w:p w:rsidR="0043631F" w:rsidRPr="0043631F" w:rsidRDefault="0043631F" w:rsidP="00666F68">
            <w:pPr>
              <w:overflowPunct/>
              <w:autoSpaceDE/>
              <w:autoSpaceDN/>
              <w:adjustRightInd/>
              <w:spacing w:before="60"/>
              <w:ind w:left="-55"/>
              <w:textAlignment w:val="auto"/>
              <w:rPr>
                <w:color w:val="000000"/>
                <w:sz w:val="24"/>
                <w:szCs w:val="24"/>
              </w:rPr>
            </w:pPr>
          </w:p>
        </w:tc>
        <w:tc>
          <w:tcPr>
            <w:tcW w:w="850" w:type="dxa"/>
            <w:tcBorders>
              <w:top w:val="nil"/>
              <w:left w:val="nil"/>
              <w:bottom w:val="nil"/>
              <w:right w:val="nil"/>
            </w:tcBorders>
            <w:shd w:val="clear" w:color="auto" w:fill="auto"/>
            <w:noWrap/>
            <w:vAlign w:val="center"/>
            <w:hideMark/>
          </w:tcPr>
          <w:p w:rsidR="0043631F" w:rsidRPr="0043631F" w:rsidRDefault="000D4BF4" w:rsidP="00666F68">
            <w:pPr>
              <w:overflowPunct/>
              <w:autoSpaceDE/>
              <w:autoSpaceDN/>
              <w:adjustRightInd/>
              <w:spacing w:before="60"/>
              <w:textAlignment w:val="auto"/>
              <w:rPr>
                <w:color w:val="000000"/>
              </w:rPr>
            </w:pPr>
            <w:r>
              <w:rPr>
                <w:color w:val="000000"/>
              </w:rPr>
              <w:t>(</w:t>
            </w:r>
            <w:r w:rsidR="0043631F" w:rsidRPr="0043631F">
              <w:rPr>
                <w:color w:val="000000"/>
              </w:rPr>
              <w:t>0.1</w:t>
            </w:r>
            <w:r>
              <w:rPr>
                <w:color w:val="000000"/>
              </w:rPr>
              <w:t>)</w:t>
            </w:r>
          </w:p>
        </w:tc>
        <w:tc>
          <w:tcPr>
            <w:tcW w:w="833" w:type="dxa"/>
            <w:tcBorders>
              <w:top w:val="nil"/>
              <w:left w:val="nil"/>
              <w:bottom w:val="nil"/>
              <w:right w:val="nil"/>
            </w:tcBorders>
            <w:shd w:val="clear" w:color="auto" w:fill="auto"/>
            <w:noWrap/>
            <w:vAlign w:val="center"/>
            <w:hideMark/>
          </w:tcPr>
          <w:p w:rsidR="0043631F" w:rsidRPr="0043631F" w:rsidRDefault="0043631F" w:rsidP="00666F68">
            <w:pPr>
              <w:overflowPunct/>
              <w:autoSpaceDE/>
              <w:autoSpaceDN/>
              <w:adjustRightInd/>
              <w:spacing w:before="60"/>
              <w:ind w:right="-55"/>
              <w:jc w:val="right"/>
              <w:textAlignment w:val="auto"/>
              <w:rPr>
                <w:color w:val="000000"/>
              </w:rPr>
            </w:pPr>
            <w:r w:rsidRPr="0043631F">
              <w:rPr>
                <w:color w:val="000000"/>
              </w:rPr>
              <w:t>0.056</w:t>
            </w:r>
          </w:p>
        </w:tc>
        <w:tc>
          <w:tcPr>
            <w:tcW w:w="583" w:type="dxa"/>
            <w:tcBorders>
              <w:top w:val="nil"/>
              <w:left w:val="nil"/>
              <w:bottom w:val="nil"/>
              <w:right w:val="nil"/>
            </w:tcBorders>
            <w:shd w:val="clear" w:color="auto" w:fill="auto"/>
            <w:noWrap/>
            <w:vAlign w:val="center"/>
            <w:hideMark/>
          </w:tcPr>
          <w:p w:rsidR="0043631F" w:rsidRPr="0043631F" w:rsidRDefault="0043631F" w:rsidP="00666F68">
            <w:pPr>
              <w:overflowPunct/>
              <w:autoSpaceDE/>
              <w:autoSpaceDN/>
              <w:adjustRightInd/>
              <w:spacing w:before="60"/>
              <w:ind w:left="-71"/>
              <w:textAlignment w:val="auto"/>
              <w:rPr>
                <w:color w:val="000000"/>
              </w:rPr>
            </w:pPr>
          </w:p>
        </w:tc>
        <w:tc>
          <w:tcPr>
            <w:tcW w:w="850" w:type="dxa"/>
            <w:tcBorders>
              <w:top w:val="nil"/>
              <w:left w:val="nil"/>
              <w:bottom w:val="nil"/>
              <w:right w:val="nil"/>
            </w:tcBorders>
            <w:shd w:val="clear" w:color="auto" w:fill="auto"/>
            <w:noWrap/>
            <w:vAlign w:val="center"/>
            <w:hideMark/>
          </w:tcPr>
          <w:p w:rsidR="0043631F" w:rsidRPr="0043631F" w:rsidRDefault="000D4BF4" w:rsidP="00666F68">
            <w:pPr>
              <w:overflowPunct/>
              <w:autoSpaceDE/>
              <w:autoSpaceDN/>
              <w:adjustRightInd/>
              <w:spacing w:before="60"/>
              <w:textAlignment w:val="auto"/>
              <w:rPr>
                <w:color w:val="000000"/>
              </w:rPr>
            </w:pPr>
            <w:r>
              <w:rPr>
                <w:color w:val="000000"/>
              </w:rPr>
              <w:t>(</w:t>
            </w:r>
            <w:r w:rsidR="0043631F" w:rsidRPr="0043631F">
              <w:rPr>
                <w:color w:val="000000"/>
              </w:rPr>
              <w:t>1.0</w:t>
            </w:r>
            <w:r>
              <w:rPr>
                <w:color w:val="000000"/>
              </w:rPr>
              <w:t>)</w:t>
            </w:r>
          </w:p>
        </w:tc>
      </w:tr>
      <w:tr w:rsidR="0043631F" w:rsidRPr="0043631F" w:rsidTr="000D4BF4">
        <w:trPr>
          <w:trHeight w:val="20"/>
        </w:trPr>
        <w:tc>
          <w:tcPr>
            <w:tcW w:w="1633" w:type="dxa"/>
            <w:tcBorders>
              <w:top w:val="nil"/>
              <w:left w:val="nil"/>
              <w:bottom w:val="nil"/>
              <w:right w:val="nil"/>
            </w:tcBorders>
            <w:shd w:val="clear" w:color="auto" w:fill="auto"/>
            <w:noWrap/>
            <w:vAlign w:val="center"/>
            <w:hideMark/>
          </w:tcPr>
          <w:p w:rsidR="0043631F" w:rsidRPr="0043631F" w:rsidRDefault="0043631F" w:rsidP="0043631F">
            <w:pPr>
              <w:overflowPunct/>
              <w:autoSpaceDE/>
              <w:autoSpaceDN/>
              <w:adjustRightInd/>
              <w:textAlignment w:val="auto"/>
              <w:rPr>
                <w:color w:val="000000"/>
              </w:rPr>
            </w:pPr>
            <w:r w:rsidRPr="0043631F">
              <w:rPr>
                <w:color w:val="000000"/>
              </w:rPr>
              <w:t>Capital Gains</w:t>
            </w:r>
            <w:r w:rsidR="000B6AFF" w:rsidRPr="003D4979">
              <w:rPr>
                <w:b/>
              </w:rPr>
              <w:t>'</w:t>
            </w:r>
          </w:p>
        </w:tc>
        <w:tc>
          <w:tcPr>
            <w:tcW w:w="833" w:type="dxa"/>
            <w:tcBorders>
              <w:top w:val="nil"/>
              <w:left w:val="nil"/>
              <w:bottom w:val="nil"/>
              <w:right w:val="nil"/>
            </w:tcBorders>
            <w:shd w:val="clear" w:color="auto" w:fill="auto"/>
            <w:noWrap/>
            <w:vAlign w:val="center"/>
            <w:hideMark/>
          </w:tcPr>
          <w:p w:rsidR="0043631F" w:rsidRPr="0043631F" w:rsidRDefault="0043631F" w:rsidP="000D4BF4">
            <w:pPr>
              <w:overflowPunct/>
              <w:autoSpaceDE/>
              <w:autoSpaceDN/>
              <w:adjustRightInd/>
              <w:ind w:right="-87"/>
              <w:jc w:val="right"/>
              <w:textAlignment w:val="auto"/>
              <w:rPr>
                <w:color w:val="000000"/>
              </w:rPr>
            </w:pPr>
            <w:r w:rsidRPr="0043631F">
              <w:rPr>
                <w:color w:val="000000"/>
              </w:rPr>
              <w:t>0.592</w:t>
            </w:r>
          </w:p>
        </w:tc>
        <w:tc>
          <w:tcPr>
            <w:tcW w:w="583" w:type="dxa"/>
            <w:tcBorders>
              <w:top w:val="nil"/>
              <w:left w:val="nil"/>
              <w:bottom w:val="nil"/>
              <w:right w:val="nil"/>
            </w:tcBorders>
            <w:shd w:val="clear" w:color="auto" w:fill="auto"/>
            <w:noWrap/>
            <w:vAlign w:val="center"/>
            <w:hideMark/>
          </w:tcPr>
          <w:p w:rsidR="0043631F" w:rsidRPr="0043631F" w:rsidRDefault="0043631F" w:rsidP="000D4BF4">
            <w:pPr>
              <w:overflowPunct/>
              <w:autoSpaceDE/>
              <w:autoSpaceDN/>
              <w:adjustRightInd/>
              <w:ind w:left="-39"/>
              <w:textAlignment w:val="auto"/>
              <w:rPr>
                <w:color w:val="000000"/>
              </w:rPr>
            </w:pPr>
            <w:r w:rsidRPr="0043631F">
              <w:rPr>
                <w:color w:val="000000"/>
                <w:vertAlign w:val="superscript"/>
              </w:rPr>
              <w:t>***</w:t>
            </w:r>
          </w:p>
        </w:tc>
        <w:tc>
          <w:tcPr>
            <w:tcW w:w="850" w:type="dxa"/>
            <w:tcBorders>
              <w:top w:val="nil"/>
              <w:left w:val="nil"/>
              <w:bottom w:val="nil"/>
              <w:right w:val="nil"/>
            </w:tcBorders>
            <w:shd w:val="clear" w:color="auto" w:fill="auto"/>
            <w:noWrap/>
            <w:vAlign w:val="center"/>
            <w:hideMark/>
          </w:tcPr>
          <w:p w:rsidR="0043631F" w:rsidRPr="0043631F" w:rsidRDefault="000D4BF4" w:rsidP="000D4BF4">
            <w:pPr>
              <w:overflowPunct/>
              <w:autoSpaceDE/>
              <w:autoSpaceDN/>
              <w:adjustRightInd/>
              <w:textAlignment w:val="auto"/>
              <w:rPr>
                <w:color w:val="000000"/>
              </w:rPr>
            </w:pPr>
            <w:r>
              <w:rPr>
                <w:color w:val="000000"/>
              </w:rPr>
              <w:t>(</w:t>
            </w:r>
            <w:r w:rsidR="0043631F" w:rsidRPr="0043631F">
              <w:rPr>
                <w:color w:val="000000"/>
              </w:rPr>
              <w:t>9.1</w:t>
            </w:r>
            <w:r>
              <w:rPr>
                <w:color w:val="000000"/>
              </w:rPr>
              <w:t>)</w:t>
            </w:r>
          </w:p>
        </w:tc>
        <w:tc>
          <w:tcPr>
            <w:tcW w:w="833" w:type="dxa"/>
            <w:tcBorders>
              <w:top w:val="nil"/>
              <w:left w:val="nil"/>
              <w:bottom w:val="nil"/>
              <w:right w:val="nil"/>
            </w:tcBorders>
            <w:shd w:val="clear" w:color="auto" w:fill="auto"/>
            <w:noWrap/>
            <w:vAlign w:val="center"/>
            <w:hideMark/>
          </w:tcPr>
          <w:p w:rsidR="0043631F" w:rsidRPr="0043631F" w:rsidRDefault="0043631F" w:rsidP="000D4BF4">
            <w:pPr>
              <w:overflowPunct/>
              <w:autoSpaceDE/>
              <w:autoSpaceDN/>
              <w:adjustRightInd/>
              <w:ind w:right="-71"/>
              <w:jc w:val="right"/>
              <w:textAlignment w:val="auto"/>
              <w:rPr>
                <w:color w:val="000000"/>
              </w:rPr>
            </w:pPr>
            <w:r w:rsidRPr="0043631F">
              <w:rPr>
                <w:color w:val="000000"/>
              </w:rPr>
              <w:t>0.688</w:t>
            </w:r>
          </w:p>
        </w:tc>
        <w:tc>
          <w:tcPr>
            <w:tcW w:w="583" w:type="dxa"/>
            <w:tcBorders>
              <w:top w:val="nil"/>
              <w:left w:val="nil"/>
              <w:bottom w:val="nil"/>
              <w:right w:val="nil"/>
            </w:tcBorders>
            <w:shd w:val="clear" w:color="auto" w:fill="auto"/>
            <w:noWrap/>
            <w:vAlign w:val="center"/>
            <w:hideMark/>
          </w:tcPr>
          <w:p w:rsidR="0043631F" w:rsidRPr="0043631F" w:rsidRDefault="0043631F" w:rsidP="000D4BF4">
            <w:pPr>
              <w:overflowPunct/>
              <w:autoSpaceDE/>
              <w:autoSpaceDN/>
              <w:adjustRightInd/>
              <w:ind w:left="-55"/>
              <w:textAlignment w:val="auto"/>
              <w:rPr>
                <w:color w:val="000000"/>
              </w:rPr>
            </w:pPr>
            <w:r w:rsidRPr="0043631F">
              <w:rPr>
                <w:color w:val="000000"/>
                <w:vertAlign w:val="superscript"/>
              </w:rPr>
              <w:t>***</w:t>
            </w:r>
          </w:p>
        </w:tc>
        <w:tc>
          <w:tcPr>
            <w:tcW w:w="850" w:type="dxa"/>
            <w:tcBorders>
              <w:top w:val="nil"/>
              <w:left w:val="nil"/>
              <w:bottom w:val="nil"/>
              <w:right w:val="nil"/>
            </w:tcBorders>
            <w:shd w:val="clear" w:color="auto" w:fill="auto"/>
            <w:noWrap/>
            <w:vAlign w:val="center"/>
            <w:hideMark/>
          </w:tcPr>
          <w:p w:rsidR="0043631F" w:rsidRPr="0043631F" w:rsidRDefault="000D4BF4" w:rsidP="000D4BF4">
            <w:pPr>
              <w:overflowPunct/>
              <w:autoSpaceDE/>
              <w:autoSpaceDN/>
              <w:adjustRightInd/>
              <w:textAlignment w:val="auto"/>
              <w:rPr>
                <w:color w:val="000000"/>
              </w:rPr>
            </w:pPr>
            <w:r>
              <w:rPr>
                <w:color w:val="000000"/>
              </w:rPr>
              <w:t>(</w:t>
            </w:r>
            <w:r w:rsidR="0043631F" w:rsidRPr="0043631F">
              <w:rPr>
                <w:color w:val="000000"/>
              </w:rPr>
              <w:t>11.7</w:t>
            </w:r>
            <w:r>
              <w:rPr>
                <w:color w:val="000000"/>
              </w:rPr>
              <w:t>)</w:t>
            </w:r>
          </w:p>
        </w:tc>
        <w:tc>
          <w:tcPr>
            <w:tcW w:w="833" w:type="dxa"/>
            <w:tcBorders>
              <w:top w:val="nil"/>
              <w:left w:val="nil"/>
              <w:bottom w:val="nil"/>
              <w:right w:val="nil"/>
            </w:tcBorders>
            <w:shd w:val="clear" w:color="auto" w:fill="auto"/>
            <w:noWrap/>
            <w:vAlign w:val="center"/>
            <w:hideMark/>
          </w:tcPr>
          <w:p w:rsidR="0043631F" w:rsidRPr="0043631F" w:rsidRDefault="0043631F" w:rsidP="000D4BF4">
            <w:pPr>
              <w:overflowPunct/>
              <w:autoSpaceDE/>
              <w:autoSpaceDN/>
              <w:adjustRightInd/>
              <w:ind w:right="-55"/>
              <w:jc w:val="right"/>
              <w:textAlignment w:val="auto"/>
              <w:rPr>
                <w:color w:val="000000"/>
              </w:rPr>
            </w:pPr>
            <w:r w:rsidRPr="0043631F">
              <w:rPr>
                <w:color w:val="000000"/>
              </w:rPr>
              <w:t>0.486</w:t>
            </w:r>
          </w:p>
        </w:tc>
        <w:tc>
          <w:tcPr>
            <w:tcW w:w="583" w:type="dxa"/>
            <w:tcBorders>
              <w:top w:val="nil"/>
              <w:left w:val="nil"/>
              <w:bottom w:val="nil"/>
              <w:right w:val="nil"/>
            </w:tcBorders>
            <w:shd w:val="clear" w:color="auto" w:fill="auto"/>
            <w:noWrap/>
            <w:vAlign w:val="center"/>
            <w:hideMark/>
          </w:tcPr>
          <w:p w:rsidR="0043631F" w:rsidRPr="0043631F" w:rsidRDefault="0043631F" w:rsidP="000D4BF4">
            <w:pPr>
              <w:overflowPunct/>
              <w:autoSpaceDE/>
              <w:autoSpaceDN/>
              <w:adjustRightInd/>
              <w:ind w:left="-71"/>
              <w:textAlignment w:val="auto"/>
              <w:rPr>
                <w:color w:val="000000"/>
              </w:rPr>
            </w:pPr>
            <w:r w:rsidRPr="0043631F">
              <w:rPr>
                <w:color w:val="000000"/>
                <w:vertAlign w:val="superscript"/>
              </w:rPr>
              <w:t>***</w:t>
            </w:r>
          </w:p>
        </w:tc>
        <w:tc>
          <w:tcPr>
            <w:tcW w:w="850" w:type="dxa"/>
            <w:tcBorders>
              <w:top w:val="nil"/>
              <w:left w:val="nil"/>
              <w:bottom w:val="nil"/>
              <w:right w:val="nil"/>
            </w:tcBorders>
            <w:shd w:val="clear" w:color="auto" w:fill="auto"/>
            <w:noWrap/>
            <w:vAlign w:val="center"/>
            <w:hideMark/>
          </w:tcPr>
          <w:p w:rsidR="0043631F" w:rsidRPr="0043631F" w:rsidRDefault="000D4BF4" w:rsidP="000D4BF4">
            <w:pPr>
              <w:overflowPunct/>
              <w:autoSpaceDE/>
              <w:autoSpaceDN/>
              <w:adjustRightInd/>
              <w:textAlignment w:val="auto"/>
              <w:rPr>
                <w:color w:val="000000"/>
              </w:rPr>
            </w:pPr>
            <w:r>
              <w:rPr>
                <w:color w:val="000000"/>
              </w:rPr>
              <w:t>(</w:t>
            </w:r>
            <w:r w:rsidR="0043631F" w:rsidRPr="0043631F">
              <w:rPr>
                <w:color w:val="000000"/>
              </w:rPr>
              <w:t>7.1</w:t>
            </w:r>
            <w:r>
              <w:rPr>
                <w:color w:val="000000"/>
              </w:rPr>
              <w:t>)</w:t>
            </w:r>
          </w:p>
        </w:tc>
      </w:tr>
      <w:tr w:rsidR="0043631F" w:rsidRPr="0043631F" w:rsidTr="000D4BF4">
        <w:trPr>
          <w:trHeight w:val="20"/>
        </w:trPr>
        <w:tc>
          <w:tcPr>
            <w:tcW w:w="1633" w:type="dxa"/>
            <w:tcBorders>
              <w:top w:val="nil"/>
              <w:left w:val="nil"/>
              <w:bottom w:val="nil"/>
              <w:right w:val="nil"/>
            </w:tcBorders>
            <w:shd w:val="clear" w:color="auto" w:fill="auto"/>
            <w:noWrap/>
            <w:vAlign w:val="center"/>
            <w:hideMark/>
          </w:tcPr>
          <w:p w:rsidR="0043631F" w:rsidRPr="0043631F" w:rsidRDefault="0043631F" w:rsidP="0043631F">
            <w:pPr>
              <w:overflowPunct/>
              <w:autoSpaceDE/>
              <w:autoSpaceDN/>
              <w:adjustRightInd/>
              <w:textAlignment w:val="auto"/>
              <w:rPr>
                <w:color w:val="000000"/>
              </w:rPr>
            </w:pPr>
            <w:r w:rsidRPr="0043631F">
              <w:rPr>
                <w:color w:val="000000"/>
              </w:rPr>
              <w:t>Volume</w:t>
            </w:r>
            <w:r w:rsidR="000B6AFF" w:rsidRPr="003D4979">
              <w:rPr>
                <w:b/>
              </w:rPr>
              <w:t>'</w:t>
            </w:r>
          </w:p>
        </w:tc>
        <w:tc>
          <w:tcPr>
            <w:tcW w:w="833" w:type="dxa"/>
            <w:tcBorders>
              <w:top w:val="nil"/>
              <w:left w:val="nil"/>
              <w:bottom w:val="nil"/>
              <w:right w:val="nil"/>
            </w:tcBorders>
            <w:shd w:val="clear" w:color="auto" w:fill="auto"/>
            <w:noWrap/>
            <w:vAlign w:val="center"/>
            <w:hideMark/>
          </w:tcPr>
          <w:p w:rsidR="0043631F" w:rsidRPr="0043631F" w:rsidRDefault="0043631F" w:rsidP="000D4BF4">
            <w:pPr>
              <w:overflowPunct/>
              <w:autoSpaceDE/>
              <w:autoSpaceDN/>
              <w:adjustRightInd/>
              <w:ind w:right="-87"/>
              <w:jc w:val="right"/>
              <w:textAlignment w:val="auto"/>
              <w:rPr>
                <w:color w:val="000000"/>
              </w:rPr>
            </w:pPr>
            <w:r w:rsidRPr="0043631F">
              <w:rPr>
                <w:color w:val="000000"/>
              </w:rPr>
              <w:t>0.070</w:t>
            </w:r>
          </w:p>
        </w:tc>
        <w:tc>
          <w:tcPr>
            <w:tcW w:w="583" w:type="dxa"/>
            <w:tcBorders>
              <w:top w:val="nil"/>
              <w:left w:val="nil"/>
              <w:bottom w:val="nil"/>
              <w:right w:val="nil"/>
            </w:tcBorders>
            <w:shd w:val="clear" w:color="auto" w:fill="auto"/>
            <w:noWrap/>
            <w:vAlign w:val="bottom"/>
            <w:hideMark/>
          </w:tcPr>
          <w:p w:rsidR="0043631F" w:rsidRPr="0043631F" w:rsidRDefault="0043631F" w:rsidP="000D4BF4">
            <w:pPr>
              <w:overflowPunct/>
              <w:autoSpaceDE/>
              <w:autoSpaceDN/>
              <w:adjustRightInd/>
              <w:ind w:left="-39"/>
              <w:textAlignment w:val="auto"/>
              <w:rPr>
                <w:color w:val="000000"/>
                <w:sz w:val="24"/>
                <w:szCs w:val="24"/>
              </w:rPr>
            </w:pPr>
          </w:p>
        </w:tc>
        <w:tc>
          <w:tcPr>
            <w:tcW w:w="850" w:type="dxa"/>
            <w:tcBorders>
              <w:top w:val="nil"/>
              <w:left w:val="nil"/>
              <w:bottom w:val="nil"/>
              <w:right w:val="nil"/>
            </w:tcBorders>
            <w:shd w:val="clear" w:color="auto" w:fill="auto"/>
            <w:noWrap/>
            <w:vAlign w:val="center"/>
            <w:hideMark/>
          </w:tcPr>
          <w:p w:rsidR="0043631F" w:rsidRPr="0043631F" w:rsidRDefault="000D4BF4" w:rsidP="000D4BF4">
            <w:pPr>
              <w:overflowPunct/>
              <w:autoSpaceDE/>
              <w:autoSpaceDN/>
              <w:adjustRightInd/>
              <w:textAlignment w:val="auto"/>
              <w:rPr>
                <w:color w:val="000000"/>
              </w:rPr>
            </w:pPr>
            <w:r>
              <w:rPr>
                <w:color w:val="000000"/>
              </w:rPr>
              <w:t>(</w:t>
            </w:r>
            <w:r w:rsidR="0043631F" w:rsidRPr="0043631F">
              <w:rPr>
                <w:color w:val="000000"/>
              </w:rPr>
              <w:t>1.4</w:t>
            </w:r>
            <w:r>
              <w:rPr>
                <w:color w:val="000000"/>
              </w:rPr>
              <w:t>)</w:t>
            </w:r>
          </w:p>
        </w:tc>
        <w:tc>
          <w:tcPr>
            <w:tcW w:w="833" w:type="dxa"/>
            <w:tcBorders>
              <w:top w:val="nil"/>
              <w:left w:val="nil"/>
              <w:bottom w:val="nil"/>
              <w:right w:val="nil"/>
            </w:tcBorders>
            <w:shd w:val="clear" w:color="auto" w:fill="auto"/>
            <w:noWrap/>
            <w:vAlign w:val="center"/>
            <w:hideMark/>
          </w:tcPr>
          <w:p w:rsidR="0043631F" w:rsidRPr="0043631F" w:rsidRDefault="0043631F" w:rsidP="000D4BF4">
            <w:pPr>
              <w:overflowPunct/>
              <w:autoSpaceDE/>
              <w:autoSpaceDN/>
              <w:adjustRightInd/>
              <w:ind w:right="-71"/>
              <w:jc w:val="right"/>
              <w:textAlignment w:val="auto"/>
              <w:rPr>
                <w:color w:val="000000"/>
              </w:rPr>
            </w:pPr>
            <w:r w:rsidRPr="0043631F">
              <w:rPr>
                <w:color w:val="000000"/>
              </w:rPr>
              <w:t>0.010</w:t>
            </w:r>
          </w:p>
        </w:tc>
        <w:tc>
          <w:tcPr>
            <w:tcW w:w="583" w:type="dxa"/>
            <w:tcBorders>
              <w:top w:val="nil"/>
              <w:left w:val="nil"/>
              <w:bottom w:val="nil"/>
              <w:right w:val="nil"/>
            </w:tcBorders>
            <w:shd w:val="clear" w:color="auto" w:fill="auto"/>
            <w:noWrap/>
            <w:vAlign w:val="bottom"/>
            <w:hideMark/>
          </w:tcPr>
          <w:p w:rsidR="0043631F" w:rsidRPr="0043631F" w:rsidRDefault="0043631F" w:rsidP="000D4BF4">
            <w:pPr>
              <w:overflowPunct/>
              <w:autoSpaceDE/>
              <w:autoSpaceDN/>
              <w:adjustRightInd/>
              <w:ind w:left="-55"/>
              <w:textAlignment w:val="auto"/>
              <w:rPr>
                <w:color w:val="000000"/>
                <w:sz w:val="24"/>
                <w:szCs w:val="24"/>
              </w:rPr>
            </w:pPr>
          </w:p>
        </w:tc>
        <w:tc>
          <w:tcPr>
            <w:tcW w:w="850" w:type="dxa"/>
            <w:tcBorders>
              <w:top w:val="nil"/>
              <w:left w:val="nil"/>
              <w:bottom w:val="nil"/>
              <w:right w:val="nil"/>
            </w:tcBorders>
            <w:shd w:val="clear" w:color="auto" w:fill="auto"/>
            <w:noWrap/>
            <w:vAlign w:val="center"/>
            <w:hideMark/>
          </w:tcPr>
          <w:p w:rsidR="0043631F" w:rsidRPr="0043631F" w:rsidRDefault="000D4BF4" w:rsidP="000D4BF4">
            <w:pPr>
              <w:overflowPunct/>
              <w:autoSpaceDE/>
              <w:autoSpaceDN/>
              <w:adjustRightInd/>
              <w:textAlignment w:val="auto"/>
              <w:rPr>
                <w:color w:val="000000"/>
              </w:rPr>
            </w:pPr>
            <w:r>
              <w:rPr>
                <w:color w:val="000000"/>
              </w:rPr>
              <w:t>(</w:t>
            </w:r>
            <w:r w:rsidR="0043631F" w:rsidRPr="0043631F">
              <w:rPr>
                <w:color w:val="000000"/>
              </w:rPr>
              <w:t>0.2</w:t>
            </w:r>
            <w:r>
              <w:rPr>
                <w:color w:val="000000"/>
              </w:rPr>
              <w:t>)</w:t>
            </w:r>
          </w:p>
        </w:tc>
        <w:tc>
          <w:tcPr>
            <w:tcW w:w="833" w:type="dxa"/>
            <w:tcBorders>
              <w:top w:val="nil"/>
              <w:left w:val="nil"/>
              <w:bottom w:val="nil"/>
              <w:right w:val="nil"/>
            </w:tcBorders>
            <w:shd w:val="clear" w:color="auto" w:fill="auto"/>
            <w:noWrap/>
            <w:vAlign w:val="center"/>
            <w:hideMark/>
          </w:tcPr>
          <w:p w:rsidR="0043631F" w:rsidRPr="0043631F" w:rsidRDefault="0043631F" w:rsidP="000D4BF4">
            <w:pPr>
              <w:overflowPunct/>
              <w:autoSpaceDE/>
              <w:autoSpaceDN/>
              <w:adjustRightInd/>
              <w:ind w:right="-55"/>
              <w:jc w:val="right"/>
              <w:textAlignment w:val="auto"/>
              <w:rPr>
                <w:color w:val="000000"/>
              </w:rPr>
            </w:pPr>
            <w:r w:rsidRPr="0043631F">
              <w:rPr>
                <w:color w:val="000000"/>
              </w:rPr>
              <w:t>0.114</w:t>
            </w:r>
          </w:p>
        </w:tc>
        <w:tc>
          <w:tcPr>
            <w:tcW w:w="583" w:type="dxa"/>
            <w:tcBorders>
              <w:top w:val="nil"/>
              <w:left w:val="nil"/>
              <w:bottom w:val="nil"/>
              <w:right w:val="nil"/>
            </w:tcBorders>
            <w:shd w:val="clear" w:color="auto" w:fill="auto"/>
            <w:noWrap/>
            <w:vAlign w:val="center"/>
            <w:hideMark/>
          </w:tcPr>
          <w:p w:rsidR="0043631F" w:rsidRPr="0043631F" w:rsidRDefault="0043631F" w:rsidP="000D4BF4">
            <w:pPr>
              <w:overflowPunct/>
              <w:autoSpaceDE/>
              <w:autoSpaceDN/>
              <w:adjustRightInd/>
              <w:ind w:left="-71"/>
              <w:textAlignment w:val="auto"/>
              <w:rPr>
                <w:color w:val="000000"/>
              </w:rPr>
            </w:pPr>
            <w:r w:rsidRPr="0043631F">
              <w:rPr>
                <w:color w:val="000000"/>
                <w:vertAlign w:val="superscript"/>
              </w:rPr>
              <w:t>**</w:t>
            </w:r>
          </w:p>
        </w:tc>
        <w:tc>
          <w:tcPr>
            <w:tcW w:w="850" w:type="dxa"/>
            <w:tcBorders>
              <w:top w:val="nil"/>
              <w:left w:val="nil"/>
              <w:bottom w:val="nil"/>
              <w:right w:val="nil"/>
            </w:tcBorders>
            <w:shd w:val="clear" w:color="auto" w:fill="auto"/>
            <w:noWrap/>
            <w:vAlign w:val="center"/>
            <w:hideMark/>
          </w:tcPr>
          <w:p w:rsidR="0043631F" w:rsidRPr="0043631F" w:rsidRDefault="000D4BF4" w:rsidP="000D4BF4">
            <w:pPr>
              <w:overflowPunct/>
              <w:autoSpaceDE/>
              <w:autoSpaceDN/>
              <w:adjustRightInd/>
              <w:textAlignment w:val="auto"/>
              <w:rPr>
                <w:color w:val="000000"/>
              </w:rPr>
            </w:pPr>
            <w:r>
              <w:rPr>
                <w:color w:val="000000"/>
              </w:rPr>
              <w:t>(</w:t>
            </w:r>
            <w:r w:rsidR="0043631F" w:rsidRPr="0043631F">
              <w:rPr>
                <w:color w:val="000000"/>
              </w:rPr>
              <w:t>2.3</w:t>
            </w:r>
            <w:r>
              <w:rPr>
                <w:color w:val="000000"/>
              </w:rPr>
              <w:t>)</w:t>
            </w:r>
          </w:p>
        </w:tc>
      </w:tr>
      <w:tr w:rsidR="0043631F" w:rsidRPr="0043631F" w:rsidTr="000D4BF4">
        <w:trPr>
          <w:trHeight w:val="20"/>
        </w:trPr>
        <w:tc>
          <w:tcPr>
            <w:tcW w:w="1633" w:type="dxa"/>
            <w:tcBorders>
              <w:top w:val="nil"/>
              <w:left w:val="nil"/>
              <w:bottom w:val="single" w:sz="12" w:space="0" w:color="auto"/>
              <w:right w:val="nil"/>
            </w:tcBorders>
            <w:shd w:val="clear" w:color="auto" w:fill="auto"/>
            <w:noWrap/>
            <w:vAlign w:val="center"/>
            <w:hideMark/>
          </w:tcPr>
          <w:p w:rsidR="0043631F" w:rsidRPr="0043631F" w:rsidRDefault="0043631F" w:rsidP="00666F68">
            <w:pPr>
              <w:overflowPunct/>
              <w:autoSpaceDE/>
              <w:autoSpaceDN/>
              <w:adjustRightInd/>
              <w:spacing w:after="60"/>
              <w:textAlignment w:val="auto"/>
              <w:rPr>
                <w:color w:val="000000"/>
              </w:rPr>
            </w:pPr>
            <w:r w:rsidRPr="0043631F">
              <w:rPr>
                <w:color w:val="000000"/>
              </w:rPr>
              <w:t>CRE Tightening</w:t>
            </w:r>
          </w:p>
        </w:tc>
        <w:tc>
          <w:tcPr>
            <w:tcW w:w="833" w:type="dxa"/>
            <w:tcBorders>
              <w:top w:val="nil"/>
              <w:left w:val="nil"/>
              <w:bottom w:val="single" w:sz="12" w:space="0" w:color="auto"/>
              <w:right w:val="nil"/>
            </w:tcBorders>
            <w:shd w:val="clear" w:color="auto" w:fill="auto"/>
            <w:noWrap/>
            <w:vAlign w:val="center"/>
            <w:hideMark/>
          </w:tcPr>
          <w:p w:rsidR="0043631F" w:rsidRPr="0043631F" w:rsidRDefault="0043631F" w:rsidP="00666F68">
            <w:pPr>
              <w:overflowPunct/>
              <w:autoSpaceDE/>
              <w:autoSpaceDN/>
              <w:adjustRightInd/>
              <w:spacing w:after="60"/>
              <w:ind w:right="-87"/>
              <w:jc w:val="right"/>
              <w:textAlignment w:val="auto"/>
              <w:rPr>
                <w:color w:val="000000"/>
              </w:rPr>
            </w:pPr>
            <w:r w:rsidRPr="0043631F">
              <w:rPr>
                <w:color w:val="000000"/>
              </w:rPr>
              <w:t>-0.295</w:t>
            </w:r>
          </w:p>
        </w:tc>
        <w:tc>
          <w:tcPr>
            <w:tcW w:w="583" w:type="dxa"/>
            <w:tcBorders>
              <w:top w:val="nil"/>
              <w:left w:val="nil"/>
              <w:bottom w:val="nil"/>
              <w:right w:val="nil"/>
            </w:tcBorders>
            <w:shd w:val="clear" w:color="auto" w:fill="auto"/>
            <w:noWrap/>
            <w:vAlign w:val="center"/>
            <w:hideMark/>
          </w:tcPr>
          <w:p w:rsidR="0043631F" w:rsidRPr="0043631F" w:rsidRDefault="0043631F" w:rsidP="00666F68">
            <w:pPr>
              <w:overflowPunct/>
              <w:autoSpaceDE/>
              <w:autoSpaceDN/>
              <w:adjustRightInd/>
              <w:spacing w:after="60"/>
              <w:ind w:left="-39"/>
              <w:textAlignment w:val="auto"/>
              <w:rPr>
                <w:color w:val="000000"/>
              </w:rPr>
            </w:pPr>
            <w:r w:rsidRPr="0043631F">
              <w:rPr>
                <w:color w:val="000000"/>
                <w:vertAlign w:val="superscript"/>
              </w:rPr>
              <w:t>***</w:t>
            </w:r>
          </w:p>
        </w:tc>
        <w:tc>
          <w:tcPr>
            <w:tcW w:w="850" w:type="dxa"/>
            <w:tcBorders>
              <w:top w:val="nil"/>
              <w:left w:val="nil"/>
              <w:bottom w:val="single" w:sz="12" w:space="0" w:color="auto"/>
              <w:right w:val="nil"/>
            </w:tcBorders>
            <w:shd w:val="clear" w:color="auto" w:fill="auto"/>
            <w:noWrap/>
            <w:vAlign w:val="center"/>
            <w:hideMark/>
          </w:tcPr>
          <w:p w:rsidR="0043631F" w:rsidRPr="0043631F" w:rsidRDefault="000D4BF4" w:rsidP="00666F68">
            <w:pPr>
              <w:overflowPunct/>
              <w:autoSpaceDE/>
              <w:autoSpaceDN/>
              <w:adjustRightInd/>
              <w:spacing w:after="60"/>
              <w:textAlignment w:val="auto"/>
              <w:rPr>
                <w:color w:val="000000"/>
              </w:rPr>
            </w:pPr>
            <w:r>
              <w:rPr>
                <w:color w:val="000000"/>
              </w:rPr>
              <w:t>(</w:t>
            </w:r>
            <w:r w:rsidR="0043631F" w:rsidRPr="0043631F">
              <w:rPr>
                <w:color w:val="000000"/>
              </w:rPr>
              <w:t>-4.8</w:t>
            </w:r>
            <w:r>
              <w:rPr>
                <w:color w:val="000000"/>
              </w:rPr>
              <w:t>)</w:t>
            </w:r>
          </w:p>
        </w:tc>
        <w:tc>
          <w:tcPr>
            <w:tcW w:w="833" w:type="dxa"/>
            <w:tcBorders>
              <w:top w:val="nil"/>
              <w:left w:val="nil"/>
              <w:bottom w:val="nil"/>
              <w:right w:val="nil"/>
            </w:tcBorders>
            <w:shd w:val="clear" w:color="auto" w:fill="auto"/>
            <w:noWrap/>
            <w:vAlign w:val="center"/>
            <w:hideMark/>
          </w:tcPr>
          <w:p w:rsidR="0043631F" w:rsidRPr="0043631F" w:rsidRDefault="0043631F" w:rsidP="00666F68">
            <w:pPr>
              <w:overflowPunct/>
              <w:autoSpaceDE/>
              <w:autoSpaceDN/>
              <w:adjustRightInd/>
              <w:spacing w:after="60"/>
              <w:ind w:right="-71"/>
              <w:jc w:val="right"/>
              <w:textAlignment w:val="auto"/>
              <w:rPr>
                <w:color w:val="000000"/>
              </w:rPr>
            </w:pPr>
            <w:r w:rsidRPr="0043631F">
              <w:rPr>
                <w:color w:val="000000"/>
              </w:rPr>
              <w:t>-0.239</w:t>
            </w:r>
          </w:p>
        </w:tc>
        <w:tc>
          <w:tcPr>
            <w:tcW w:w="583" w:type="dxa"/>
            <w:tcBorders>
              <w:top w:val="nil"/>
              <w:left w:val="nil"/>
              <w:bottom w:val="nil"/>
              <w:right w:val="nil"/>
            </w:tcBorders>
            <w:shd w:val="clear" w:color="auto" w:fill="auto"/>
            <w:noWrap/>
            <w:vAlign w:val="center"/>
            <w:hideMark/>
          </w:tcPr>
          <w:p w:rsidR="0043631F" w:rsidRPr="0043631F" w:rsidRDefault="0043631F" w:rsidP="00666F68">
            <w:pPr>
              <w:overflowPunct/>
              <w:autoSpaceDE/>
              <w:autoSpaceDN/>
              <w:adjustRightInd/>
              <w:spacing w:after="60"/>
              <w:ind w:left="-55"/>
              <w:textAlignment w:val="auto"/>
              <w:rPr>
                <w:color w:val="000000"/>
              </w:rPr>
            </w:pPr>
            <w:r w:rsidRPr="0043631F">
              <w:rPr>
                <w:color w:val="000000"/>
                <w:vertAlign w:val="superscript"/>
              </w:rPr>
              <w:t>***</w:t>
            </w:r>
          </w:p>
        </w:tc>
        <w:tc>
          <w:tcPr>
            <w:tcW w:w="850" w:type="dxa"/>
            <w:tcBorders>
              <w:top w:val="nil"/>
              <w:left w:val="nil"/>
              <w:bottom w:val="nil"/>
              <w:right w:val="nil"/>
            </w:tcBorders>
            <w:shd w:val="clear" w:color="auto" w:fill="auto"/>
            <w:noWrap/>
            <w:vAlign w:val="center"/>
            <w:hideMark/>
          </w:tcPr>
          <w:p w:rsidR="0043631F" w:rsidRPr="0043631F" w:rsidRDefault="000D4BF4" w:rsidP="00666F68">
            <w:pPr>
              <w:overflowPunct/>
              <w:autoSpaceDE/>
              <w:autoSpaceDN/>
              <w:adjustRightInd/>
              <w:spacing w:after="60"/>
              <w:textAlignment w:val="auto"/>
              <w:rPr>
                <w:color w:val="000000"/>
              </w:rPr>
            </w:pPr>
            <w:r>
              <w:rPr>
                <w:color w:val="000000"/>
              </w:rPr>
              <w:t>(</w:t>
            </w:r>
            <w:r w:rsidR="0043631F" w:rsidRPr="0043631F">
              <w:rPr>
                <w:color w:val="000000"/>
              </w:rPr>
              <w:t>-4.3</w:t>
            </w:r>
            <w:r>
              <w:rPr>
                <w:color w:val="000000"/>
              </w:rPr>
              <w:t>)</w:t>
            </w:r>
          </w:p>
        </w:tc>
        <w:tc>
          <w:tcPr>
            <w:tcW w:w="833" w:type="dxa"/>
            <w:tcBorders>
              <w:top w:val="nil"/>
              <w:left w:val="nil"/>
              <w:bottom w:val="single" w:sz="12" w:space="0" w:color="auto"/>
              <w:right w:val="nil"/>
            </w:tcBorders>
            <w:shd w:val="clear" w:color="auto" w:fill="auto"/>
            <w:noWrap/>
            <w:vAlign w:val="center"/>
            <w:hideMark/>
          </w:tcPr>
          <w:p w:rsidR="0043631F" w:rsidRPr="0043631F" w:rsidRDefault="0043631F" w:rsidP="00666F68">
            <w:pPr>
              <w:overflowPunct/>
              <w:autoSpaceDE/>
              <w:autoSpaceDN/>
              <w:adjustRightInd/>
              <w:spacing w:after="60"/>
              <w:ind w:right="-55"/>
              <w:jc w:val="right"/>
              <w:textAlignment w:val="auto"/>
              <w:rPr>
                <w:color w:val="000000"/>
              </w:rPr>
            </w:pPr>
            <w:r w:rsidRPr="0043631F">
              <w:rPr>
                <w:color w:val="000000"/>
              </w:rPr>
              <w:t>-0.315</w:t>
            </w:r>
          </w:p>
        </w:tc>
        <w:tc>
          <w:tcPr>
            <w:tcW w:w="583" w:type="dxa"/>
            <w:tcBorders>
              <w:top w:val="nil"/>
              <w:left w:val="nil"/>
              <w:bottom w:val="nil"/>
              <w:right w:val="nil"/>
            </w:tcBorders>
            <w:shd w:val="clear" w:color="auto" w:fill="auto"/>
            <w:noWrap/>
            <w:vAlign w:val="center"/>
            <w:hideMark/>
          </w:tcPr>
          <w:p w:rsidR="0043631F" w:rsidRPr="0043631F" w:rsidRDefault="0043631F" w:rsidP="00666F68">
            <w:pPr>
              <w:overflowPunct/>
              <w:autoSpaceDE/>
              <w:autoSpaceDN/>
              <w:adjustRightInd/>
              <w:spacing w:after="60"/>
              <w:ind w:left="-71"/>
              <w:textAlignment w:val="auto"/>
              <w:rPr>
                <w:color w:val="000000"/>
              </w:rPr>
            </w:pPr>
            <w:r w:rsidRPr="0043631F">
              <w:rPr>
                <w:color w:val="000000"/>
                <w:vertAlign w:val="superscript"/>
              </w:rPr>
              <w:t>***</w:t>
            </w:r>
          </w:p>
        </w:tc>
        <w:tc>
          <w:tcPr>
            <w:tcW w:w="850" w:type="dxa"/>
            <w:tcBorders>
              <w:top w:val="nil"/>
              <w:left w:val="nil"/>
              <w:bottom w:val="single" w:sz="12" w:space="0" w:color="auto"/>
              <w:right w:val="nil"/>
            </w:tcBorders>
            <w:shd w:val="clear" w:color="auto" w:fill="auto"/>
            <w:noWrap/>
            <w:vAlign w:val="center"/>
            <w:hideMark/>
          </w:tcPr>
          <w:p w:rsidR="0043631F" w:rsidRPr="0043631F" w:rsidRDefault="000D4BF4" w:rsidP="00666F68">
            <w:pPr>
              <w:overflowPunct/>
              <w:autoSpaceDE/>
              <w:autoSpaceDN/>
              <w:adjustRightInd/>
              <w:spacing w:after="60"/>
              <w:textAlignment w:val="auto"/>
              <w:rPr>
                <w:color w:val="000000"/>
              </w:rPr>
            </w:pPr>
            <w:r>
              <w:rPr>
                <w:color w:val="000000"/>
              </w:rPr>
              <w:t>(</w:t>
            </w:r>
            <w:r w:rsidR="0043631F" w:rsidRPr="0043631F">
              <w:rPr>
                <w:color w:val="000000"/>
              </w:rPr>
              <w:t>-4.5</w:t>
            </w:r>
            <w:r>
              <w:rPr>
                <w:color w:val="000000"/>
              </w:rPr>
              <w:t>)</w:t>
            </w:r>
          </w:p>
        </w:tc>
      </w:tr>
      <w:tr w:rsidR="0043631F" w:rsidRPr="0043631F" w:rsidTr="000D4BF4">
        <w:trPr>
          <w:trHeight w:val="20"/>
        </w:trPr>
        <w:tc>
          <w:tcPr>
            <w:tcW w:w="8431" w:type="dxa"/>
            <w:gridSpan w:val="10"/>
            <w:tcBorders>
              <w:top w:val="single" w:sz="12" w:space="0" w:color="auto"/>
              <w:left w:val="nil"/>
              <w:bottom w:val="nil"/>
              <w:right w:val="nil"/>
            </w:tcBorders>
            <w:shd w:val="clear" w:color="auto" w:fill="auto"/>
            <w:noWrap/>
            <w:vAlign w:val="center"/>
            <w:hideMark/>
          </w:tcPr>
          <w:p w:rsidR="0043631F" w:rsidRPr="0043631F" w:rsidRDefault="0043631F" w:rsidP="00666F68">
            <w:pPr>
              <w:overflowPunct/>
              <w:autoSpaceDE/>
              <w:autoSpaceDN/>
              <w:adjustRightInd/>
              <w:spacing w:before="80"/>
              <w:textAlignment w:val="auto"/>
              <w:rPr>
                <w:b/>
                <w:bCs/>
                <w:color w:val="000000"/>
              </w:rPr>
            </w:pPr>
            <w:r w:rsidRPr="0043631F">
              <w:rPr>
                <w:b/>
                <w:bCs/>
                <w:color w:val="000000"/>
              </w:rPr>
              <w:t xml:space="preserve">Panel B. </w:t>
            </w:r>
            <w:r w:rsidRPr="0043631F">
              <w:rPr>
                <w:color w:val="000000"/>
              </w:rPr>
              <w:t xml:space="preserve"> Variance decompositions</w:t>
            </w:r>
          </w:p>
        </w:tc>
      </w:tr>
      <w:tr w:rsidR="0043631F" w:rsidRPr="0043631F" w:rsidTr="000D4BF4">
        <w:trPr>
          <w:trHeight w:val="20"/>
        </w:trPr>
        <w:tc>
          <w:tcPr>
            <w:tcW w:w="1633" w:type="dxa"/>
            <w:tcBorders>
              <w:top w:val="nil"/>
              <w:left w:val="nil"/>
              <w:bottom w:val="nil"/>
              <w:right w:val="nil"/>
            </w:tcBorders>
            <w:shd w:val="clear" w:color="auto" w:fill="auto"/>
            <w:noWrap/>
            <w:vAlign w:val="center"/>
            <w:hideMark/>
          </w:tcPr>
          <w:p w:rsidR="0043631F" w:rsidRPr="0043631F" w:rsidRDefault="0043631F" w:rsidP="00666F68">
            <w:pPr>
              <w:overflowPunct/>
              <w:autoSpaceDE/>
              <w:autoSpaceDN/>
              <w:adjustRightInd/>
              <w:spacing w:before="20" w:after="20"/>
              <w:jc w:val="right"/>
              <w:textAlignment w:val="auto"/>
              <w:rPr>
                <w:color w:val="000000"/>
              </w:rPr>
            </w:pPr>
            <w:r w:rsidRPr="0043631F">
              <w:rPr>
                <w:color w:val="000000"/>
              </w:rPr>
              <w:t>Sector:</w:t>
            </w:r>
          </w:p>
        </w:tc>
        <w:tc>
          <w:tcPr>
            <w:tcW w:w="2266" w:type="dxa"/>
            <w:gridSpan w:val="3"/>
            <w:tcBorders>
              <w:top w:val="nil"/>
              <w:left w:val="nil"/>
              <w:bottom w:val="nil"/>
              <w:right w:val="nil"/>
            </w:tcBorders>
            <w:shd w:val="clear" w:color="auto" w:fill="auto"/>
            <w:noWrap/>
            <w:vAlign w:val="center"/>
            <w:hideMark/>
          </w:tcPr>
          <w:p w:rsidR="0043631F" w:rsidRPr="0043631F" w:rsidRDefault="0043631F" w:rsidP="00666F68">
            <w:pPr>
              <w:overflowPunct/>
              <w:autoSpaceDE/>
              <w:autoSpaceDN/>
              <w:adjustRightInd/>
              <w:spacing w:before="20" w:after="20"/>
              <w:jc w:val="center"/>
              <w:textAlignment w:val="auto"/>
              <w:rPr>
                <w:b/>
                <w:bCs/>
                <w:color w:val="000000"/>
              </w:rPr>
            </w:pPr>
            <w:r w:rsidRPr="0043631F">
              <w:rPr>
                <w:b/>
                <w:bCs/>
                <w:color w:val="000000"/>
              </w:rPr>
              <w:t>Office</w:t>
            </w:r>
          </w:p>
        </w:tc>
        <w:tc>
          <w:tcPr>
            <w:tcW w:w="2266" w:type="dxa"/>
            <w:gridSpan w:val="3"/>
            <w:tcBorders>
              <w:top w:val="nil"/>
              <w:left w:val="nil"/>
              <w:bottom w:val="nil"/>
              <w:right w:val="nil"/>
            </w:tcBorders>
            <w:shd w:val="clear" w:color="auto" w:fill="auto"/>
            <w:noWrap/>
            <w:vAlign w:val="center"/>
            <w:hideMark/>
          </w:tcPr>
          <w:p w:rsidR="0043631F" w:rsidRPr="0043631F" w:rsidRDefault="0043631F" w:rsidP="00666F68">
            <w:pPr>
              <w:overflowPunct/>
              <w:autoSpaceDE/>
              <w:autoSpaceDN/>
              <w:adjustRightInd/>
              <w:spacing w:before="20" w:after="20"/>
              <w:jc w:val="center"/>
              <w:textAlignment w:val="auto"/>
              <w:rPr>
                <w:b/>
                <w:bCs/>
                <w:color w:val="000000"/>
              </w:rPr>
            </w:pPr>
            <w:r w:rsidRPr="0043631F">
              <w:rPr>
                <w:b/>
                <w:bCs/>
                <w:color w:val="000000"/>
              </w:rPr>
              <w:t>Industrial</w:t>
            </w:r>
          </w:p>
        </w:tc>
        <w:tc>
          <w:tcPr>
            <w:tcW w:w="2266" w:type="dxa"/>
            <w:gridSpan w:val="3"/>
            <w:tcBorders>
              <w:top w:val="nil"/>
              <w:left w:val="nil"/>
              <w:bottom w:val="nil"/>
              <w:right w:val="nil"/>
            </w:tcBorders>
            <w:shd w:val="clear" w:color="auto" w:fill="auto"/>
            <w:noWrap/>
            <w:vAlign w:val="center"/>
            <w:hideMark/>
          </w:tcPr>
          <w:p w:rsidR="0043631F" w:rsidRPr="0043631F" w:rsidRDefault="0043631F" w:rsidP="00666F68">
            <w:pPr>
              <w:overflowPunct/>
              <w:autoSpaceDE/>
              <w:autoSpaceDN/>
              <w:adjustRightInd/>
              <w:spacing w:before="20" w:after="20"/>
              <w:jc w:val="center"/>
              <w:textAlignment w:val="auto"/>
              <w:rPr>
                <w:b/>
                <w:bCs/>
                <w:color w:val="000000"/>
              </w:rPr>
            </w:pPr>
            <w:r w:rsidRPr="0043631F">
              <w:rPr>
                <w:b/>
                <w:bCs/>
                <w:color w:val="000000"/>
              </w:rPr>
              <w:t>Retail</w:t>
            </w:r>
          </w:p>
        </w:tc>
      </w:tr>
      <w:tr w:rsidR="0043631F" w:rsidRPr="0043631F" w:rsidTr="000D4BF4">
        <w:trPr>
          <w:trHeight w:val="20"/>
        </w:trPr>
        <w:tc>
          <w:tcPr>
            <w:tcW w:w="1633" w:type="dxa"/>
            <w:tcBorders>
              <w:top w:val="nil"/>
              <w:left w:val="nil"/>
              <w:bottom w:val="nil"/>
              <w:right w:val="nil"/>
            </w:tcBorders>
            <w:shd w:val="clear" w:color="auto" w:fill="auto"/>
            <w:noWrap/>
            <w:vAlign w:val="center"/>
            <w:hideMark/>
          </w:tcPr>
          <w:p w:rsidR="0043631F" w:rsidRPr="0043631F" w:rsidRDefault="0043631F" w:rsidP="0043631F">
            <w:pPr>
              <w:overflowPunct/>
              <w:autoSpaceDE/>
              <w:autoSpaceDN/>
              <w:adjustRightInd/>
              <w:jc w:val="right"/>
              <w:textAlignment w:val="auto"/>
              <w:rPr>
                <w:i/>
                <w:iCs/>
                <w:color w:val="000000"/>
              </w:rPr>
            </w:pPr>
            <w:r w:rsidRPr="0043631F">
              <w:rPr>
                <w:i/>
                <w:iCs/>
                <w:color w:val="000000"/>
              </w:rPr>
              <w:t>Variance of:</w:t>
            </w:r>
          </w:p>
        </w:tc>
        <w:tc>
          <w:tcPr>
            <w:tcW w:w="2266" w:type="dxa"/>
            <w:gridSpan w:val="3"/>
            <w:tcBorders>
              <w:top w:val="nil"/>
              <w:left w:val="nil"/>
              <w:bottom w:val="nil"/>
              <w:right w:val="nil"/>
            </w:tcBorders>
            <w:shd w:val="clear" w:color="auto" w:fill="auto"/>
            <w:noWrap/>
            <w:vAlign w:val="center"/>
            <w:hideMark/>
          </w:tcPr>
          <w:p w:rsidR="0043631F" w:rsidRPr="0043631F" w:rsidRDefault="0043631F" w:rsidP="0043631F">
            <w:pPr>
              <w:overflowPunct/>
              <w:autoSpaceDE/>
              <w:autoSpaceDN/>
              <w:adjustRightInd/>
              <w:jc w:val="center"/>
              <w:textAlignment w:val="auto"/>
              <w:rPr>
                <w:i/>
                <w:iCs/>
                <w:color w:val="000000"/>
              </w:rPr>
            </w:pPr>
            <w:r w:rsidRPr="0043631F">
              <w:rPr>
                <w:i/>
                <w:iCs/>
                <w:color w:val="000000"/>
              </w:rPr>
              <w:t>Capital Gains</w:t>
            </w:r>
            <w:r w:rsidR="00FD516E" w:rsidRPr="003D4979">
              <w:rPr>
                <w:b/>
              </w:rPr>
              <w:t>'</w:t>
            </w:r>
          </w:p>
        </w:tc>
        <w:tc>
          <w:tcPr>
            <w:tcW w:w="2266" w:type="dxa"/>
            <w:gridSpan w:val="3"/>
            <w:tcBorders>
              <w:top w:val="nil"/>
              <w:left w:val="nil"/>
              <w:bottom w:val="nil"/>
              <w:right w:val="nil"/>
            </w:tcBorders>
            <w:shd w:val="clear" w:color="auto" w:fill="auto"/>
            <w:noWrap/>
            <w:vAlign w:val="center"/>
            <w:hideMark/>
          </w:tcPr>
          <w:p w:rsidR="0043631F" w:rsidRPr="0043631F" w:rsidRDefault="0043631F" w:rsidP="0043631F">
            <w:pPr>
              <w:overflowPunct/>
              <w:autoSpaceDE/>
              <w:autoSpaceDN/>
              <w:adjustRightInd/>
              <w:jc w:val="center"/>
              <w:textAlignment w:val="auto"/>
              <w:rPr>
                <w:i/>
                <w:iCs/>
                <w:color w:val="000000"/>
              </w:rPr>
            </w:pPr>
            <w:r w:rsidRPr="0043631F">
              <w:rPr>
                <w:i/>
                <w:iCs/>
                <w:color w:val="000000"/>
              </w:rPr>
              <w:t>Capital Gains</w:t>
            </w:r>
            <w:r w:rsidR="00FD516E" w:rsidRPr="003D4979">
              <w:rPr>
                <w:b/>
              </w:rPr>
              <w:t>'</w:t>
            </w:r>
          </w:p>
        </w:tc>
        <w:tc>
          <w:tcPr>
            <w:tcW w:w="2266" w:type="dxa"/>
            <w:gridSpan w:val="3"/>
            <w:tcBorders>
              <w:top w:val="nil"/>
              <w:left w:val="nil"/>
              <w:bottom w:val="nil"/>
              <w:right w:val="nil"/>
            </w:tcBorders>
            <w:shd w:val="clear" w:color="auto" w:fill="auto"/>
            <w:noWrap/>
            <w:vAlign w:val="center"/>
            <w:hideMark/>
          </w:tcPr>
          <w:p w:rsidR="0043631F" w:rsidRPr="0043631F" w:rsidRDefault="0043631F" w:rsidP="0043631F">
            <w:pPr>
              <w:overflowPunct/>
              <w:autoSpaceDE/>
              <w:autoSpaceDN/>
              <w:adjustRightInd/>
              <w:jc w:val="center"/>
              <w:textAlignment w:val="auto"/>
              <w:rPr>
                <w:i/>
                <w:iCs/>
                <w:color w:val="000000"/>
              </w:rPr>
            </w:pPr>
            <w:r w:rsidRPr="0043631F">
              <w:rPr>
                <w:i/>
                <w:iCs/>
                <w:color w:val="000000"/>
              </w:rPr>
              <w:t>Capital Gains</w:t>
            </w:r>
            <w:r w:rsidR="00FD516E" w:rsidRPr="003D4979">
              <w:rPr>
                <w:b/>
              </w:rPr>
              <w:t>'</w:t>
            </w:r>
          </w:p>
        </w:tc>
      </w:tr>
      <w:tr w:rsidR="0043631F" w:rsidRPr="0043631F" w:rsidTr="000D4BF4">
        <w:trPr>
          <w:trHeight w:val="20"/>
        </w:trPr>
        <w:tc>
          <w:tcPr>
            <w:tcW w:w="1633" w:type="dxa"/>
            <w:tcBorders>
              <w:top w:val="nil"/>
              <w:left w:val="nil"/>
              <w:bottom w:val="double" w:sz="6" w:space="0" w:color="auto"/>
              <w:right w:val="nil"/>
            </w:tcBorders>
            <w:shd w:val="clear" w:color="auto" w:fill="auto"/>
            <w:noWrap/>
            <w:vAlign w:val="center"/>
            <w:hideMark/>
          </w:tcPr>
          <w:p w:rsidR="0043631F" w:rsidRPr="0043631F" w:rsidRDefault="0043631F" w:rsidP="0043631F">
            <w:pPr>
              <w:overflowPunct/>
              <w:autoSpaceDE/>
              <w:autoSpaceDN/>
              <w:adjustRightInd/>
              <w:jc w:val="right"/>
              <w:textAlignment w:val="auto"/>
              <w:rPr>
                <w:color w:val="000000"/>
              </w:rPr>
            </w:pPr>
            <w:r w:rsidRPr="0043631F">
              <w:rPr>
                <w:color w:val="000000"/>
              </w:rPr>
              <w:t>Forecast period:</w:t>
            </w:r>
          </w:p>
        </w:tc>
        <w:tc>
          <w:tcPr>
            <w:tcW w:w="833" w:type="dxa"/>
            <w:tcBorders>
              <w:top w:val="nil"/>
              <w:left w:val="nil"/>
              <w:bottom w:val="double" w:sz="6" w:space="0" w:color="auto"/>
              <w:right w:val="nil"/>
            </w:tcBorders>
            <w:shd w:val="clear" w:color="auto" w:fill="auto"/>
            <w:noWrap/>
            <w:vAlign w:val="center"/>
            <w:hideMark/>
          </w:tcPr>
          <w:p w:rsidR="0043631F" w:rsidRPr="0043631F" w:rsidRDefault="0043631F" w:rsidP="0043631F">
            <w:pPr>
              <w:overflowPunct/>
              <w:autoSpaceDE/>
              <w:autoSpaceDN/>
              <w:adjustRightInd/>
              <w:jc w:val="center"/>
              <w:textAlignment w:val="auto"/>
              <w:rPr>
                <w:color w:val="000000"/>
              </w:rPr>
            </w:pPr>
            <w:r w:rsidRPr="0043631F">
              <w:rPr>
                <w:color w:val="000000"/>
              </w:rPr>
              <w:t>4</w:t>
            </w:r>
          </w:p>
        </w:tc>
        <w:tc>
          <w:tcPr>
            <w:tcW w:w="583" w:type="dxa"/>
            <w:tcBorders>
              <w:top w:val="nil"/>
              <w:left w:val="nil"/>
              <w:bottom w:val="double" w:sz="6" w:space="0" w:color="auto"/>
              <w:right w:val="nil"/>
            </w:tcBorders>
            <w:shd w:val="clear" w:color="auto" w:fill="auto"/>
            <w:noWrap/>
            <w:vAlign w:val="center"/>
            <w:hideMark/>
          </w:tcPr>
          <w:p w:rsidR="0043631F" w:rsidRPr="0043631F" w:rsidRDefault="0043631F" w:rsidP="0043631F">
            <w:pPr>
              <w:overflowPunct/>
              <w:autoSpaceDE/>
              <w:autoSpaceDN/>
              <w:adjustRightInd/>
              <w:jc w:val="center"/>
              <w:textAlignment w:val="auto"/>
              <w:rPr>
                <w:color w:val="000000"/>
              </w:rPr>
            </w:pPr>
            <w:r w:rsidRPr="0043631F">
              <w:rPr>
                <w:color w:val="000000"/>
              </w:rPr>
              <w:t>8</w:t>
            </w:r>
          </w:p>
        </w:tc>
        <w:tc>
          <w:tcPr>
            <w:tcW w:w="850" w:type="dxa"/>
            <w:tcBorders>
              <w:top w:val="nil"/>
              <w:left w:val="nil"/>
              <w:bottom w:val="double" w:sz="6" w:space="0" w:color="auto"/>
              <w:right w:val="nil"/>
            </w:tcBorders>
            <w:shd w:val="clear" w:color="auto" w:fill="auto"/>
            <w:noWrap/>
            <w:vAlign w:val="center"/>
            <w:hideMark/>
          </w:tcPr>
          <w:p w:rsidR="0043631F" w:rsidRPr="0043631F" w:rsidRDefault="0043631F" w:rsidP="0043631F">
            <w:pPr>
              <w:overflowPunct/>
              <w:autoSpaceDE/>
              <w:autoSpaceDN/>
              <w:adjustRightInd/>
              <w:jc w:val="center"/>
              <w:textAlignment w:val="auto"/>
              <w:rPr>
                <w:color w:val="000000"/>
              </w:rPr>
            </w:pPr>
            <w:r w:rsidRPr="0043631F">
              <w:rPr>
                <w:color w:val="000000"/>
              </w:rPr>
              <w:t>12</w:t>
            </w:r>
          </w:p>
        </w:tc>
        <w:tc>
          <w:tcPr>
            <w:tcW w:w="833" w:type="dxa"/>
            <w:tcBorders>
              <w:top w:val="nil"/>
              <w:left w:val="nil"/>
              <w:bottom w:val="double" w:sz="6" w:space="0" w:color="auto"/>
              <w:right w:val="nil"/>
            </w:tcBorders>
            <w:shd w:val="clear" w:color="auto" w:fill="auto"/>
            <w:noWrap/>
            <w:vAlign w:val="center"/>
            <w:hideMark/>
          </w:tcPr>
          <w:p w:rsidR="0043631F" w:rsidRPr="0043631F" w:rsidRDefault="0043631F" w:rsidP="0043631F">
            <w:pPr>
              <w:overflowPunct/>
              <w:autoSpaceDE/>
              <w:autoSpaceDN/>
              <w:adjustRightInd/>
              <w:jc w:val="center"/>
              <w:textAlignment w:val="auto"/>
              <w:rPr>
                <w:color w:val="000000"/>
              </w:rPr>
            </w:pPr>
            <w:r w:rsidRPr="0043631F">
              <w:rPr>
                <w:color w:val="000000"/>
              </w:rPr>
              <w:t>4</w:t>
            </w:r>
          </w:p>
        </w:tc>
        <w:tc>
          <w:tcPr>
            <w:tcW w:w="583" w:type="dxa"/>
            <w:tcBorders>
              <w:top w:val="nil"/>
              <w:left w:val="nil"/>
              <w:bottom w:val="double" w:sz="6" w:space="0" w:color="auto"/>
              <w:right w:val="nil"/>
            </w:tcBorders>
            <w:shd w:val="clear" w:color="auto" w:fill="auto"/>
            <w:noWrap/>
            <w:vAlign w:val="center"/>
            <w:hideMark/>
          </w:tcPr>
          <w:p w:rsidR="0043631F" w:rsidRPr="0043631F" w:rsidRDefault="0043631F" w:rsidP="0043631F">
            <w:pPr>
              <w:overflowPunct/>
              <w:autoSpaceDE/>
              <w:autoSpaceDN/>
              <w:adjustRightInd/>
              <w:jc w:val="center"/>
              <w:textAlignment w:val="auto"/>
              <w:rPr>
                <w:color w:val="000000"/>
              </w:rPr>
            </w:pPr>
            <w:r w:rsidRPr="0043631F">
              <w:rPr>
                <w:color w:val="000000"/>
              </w:rPr>
              <w:t>8</w:t>
            </w:r>
          </w:p>
        </w:tc>
        <w:tc>
          <w:tcPr>
            <w:tcW w:w="850" w:type="dxa"/>
            <w:tcBorders>
              <w:top w:val="nil"/>
              <w:left w:val="nil"/>
              <w:bottom w:val="double" w:sz="6" w:space="0" w:color="auto"/>
              <w:right w:val="nil"/>
            </w:tcBorders>
            <w:shd w:val="clear" w:color="auto" w:fill="auto"/>
            <w:noWrap/>
            <w:vAlign w:val="center"/>
            <w:hideMark/>
          </w:tcPr>
          <w:p w:rsidR="0043631F" w:rsidRPr="0043631F" w:rsidRDefault="0043631F" w:rsidP="0043631F">
            <w:pPr>
              <w:overflowPunct/>
              <w:autoSpaceDE/>
              <w:autoSpaceDN/>
              <w:adjustRightInd/>
              <w:jc w:val="center"/>
              <w:textAlignment w:val="auto"/>
              <w:rPr>
                <w:color w:val="000000"/>
              </w:rPr>
            </w:pPr>
            <w:r w:rsidRPr="0043631F">
              <w:rPr>
                <w:color w:val="000000"/>
              </w:rPr>
              <w:t>12</w:t>
            </w:r>
          </w:p>
        </w:tc>
        <w:tc>
          <w:tcPr>
            <w:tcW w:w="833" w:type="dxa"/>
            <w:tcBorders>
              <w:top w:val="nil"/>
              <w:left w:val="nil"/>
              <w:bottom w:val="double" w:sz="6" w:space="0" w:color="auto"/>
              <w:right w:val="nil"/>
            </w:tcBorders>
            <w:shd w:val="clear" w:color="auto" w:fill="auto"/>
            <w:noWrap/>
            <w:vAlign w:val="center"/>
            <w:hideMark/>
          </w:tcPr>
          <w:p w:rsidR="0043631F" w:rsidRPr="0043631F" w:rsidRDefault="0043631F" w:rsidP="0043631F">
            <w:pPr>
              <w:overflowPunct/>
              <w:autoSpaceDE/>
              <w:autoSpaceDN/>
              <w:adjustRightInd/>
              <w:jc w:val="center"/>
              <w:textAlignment w:val="auto"/>
              <w:rPr>
                <w:color w:val="000000"/>
              </w:rPr>
            </w:pPr>
            <w:r w:rsidRPr="0043631F">
              <w:rPr>
                <w:color w:val="000000"/>
              </w:rPr>
              <w:t>4</w:t>
            </w:r>
          </w:p>
        </w:tc>
        <w:tc>
          <w:tcPr>
            <w:tcW w:w="583" w:type="dxa"/>
            <w:tcBorders>
              <w:top w:val="nil"/>
              <w:left w:val="nil"/>
              <w:bottom w:val="double" w:sz="6" w:space="0" w:color="auto"/>
              <w:right w:val="nil"/>
            </w:tcBorders>
            <w:shd w:val="clear" w:color="auto" w:fill="auto"/>
            <w:noWrap/>
            <w:vAlign w:val="center"/>
            <w:hideMark/>
          </w:tcPr>
          <w:p w:rsidR="0043631F" w:rsidRPr="0043631F" w:rsidRDefault="0043631F" w:rsidP="0043631F">
            <w:pPr>
              <w:overflowPunct/>
              <w:autoSpaceDE/>
              <w:autoSpaceDN/>
              <w:adjustRightInd/>
              <w:jc w:val="center"/>
              <w:textAlignment w:val="auto"/>
              <w:rPr>
                <w:color w:val="000000"/>
              </w:rPr>
            </w:pPr>
            <w:r w:rsidRPr="0043631F">
              <w:rPr>
                <w:color w:val="000000"/>
              </w:rPr>
              <w:t>8</w:t>
            </w:r>
          </w:p>
        </w:tc>
        <w:tc>
          <w:tcPr>
            <w:tcW w:w="850" w:type="dxa"/>
            <w:tcBorders>
              <w:top w:val="nil"/>
              <w:left w:val="nil"/>
              <w:bottom w:val="double" w:sz="6" w:space="0" w:color="auto"/>
              <w:right w:val="nil"/>
            </w:tcBorders>
            <w:shd w:val="clear" w:color="auto" w:fill="auto"/>
            <w:noWrap/>
            <w:vAlign w:val="center"/>
            <w:hideMark/>
          </w:tcPr>
          <w:p w:rsidR="0043631F" w:rsidRPr="0043631F" w:rsidRDefault="0043631F" w:rsidP="0043631F">
            <w:pPr>
              <w:overflowPunct/>
              <w:autoSpaceDE/>
              <w:autoSpaceDN/>
              <w:adjustRightInd/>
              <w:jc w:val="center"/>
              <w:textAlignment w:val="auto"/>
              <w:rPr>
                <w:color w:val="000000"/>
              </w:rPr>
            </w:pPr>
            <w:r w:rsidRPr="0043631F">
              <w:rPr>
                <w:color w:val="000000"/>
              </w:rPr>
              <w:t>12</w:t>
            </w:r>
          </w:p>
        </w:tc>
      </w:tr>
      <w:tr w:rsidR="0043631F" w:rsidRPr="0043631F" w:rsidTr="000D4BF4">
        <w:trPr>
          <w:trHeight w:val="20"/>
        </w:trPr>
        <w:tc>
          <w:tcPr>
            <w:tcW w:w="1633" w:type="dxa"/>
            <w:tcBorders>
              <w:top w:val="nil"/>
              <w:left w:val="nil"/>
              <w:bottom w:val="nil"/>
              <w:right w:val="nil"/>
            </w:tcBorders>
            <w:shd w:val="clear" w:color="auto" w:fill="auto"/>
            <w:noWrap/>
            <w:vAlign w:val="center"/>
            <w:hideMark/>
          </w:tcPr>
          <w:p w:rsidR="0043631F" w:rsidRPr="0043631F" w:rsidRDefault="0043631F" w:rsidP="00666F68">
            <w:pPr>
              <w:overflowPunct/>
              <w:autoSpaceDE/>
              <w:autoSpaceDN/>
              <w:adjustRightInd/>
              <w:spacing w:before="60"/>
              <w:textAlignment w:val="auto"/>
              <w:rPr>
                <w:color w:val="000000"/>
              </w:rPr>
            </w:pPr>
            <w:r w:rsidRPr="0043631F">
              <w:rPr>
                <w:color w:val="000000"/>
              </w:rPr>
              <w:t>NOI Growth</w:t>
            </w:r>
          </w:p>
        </w:tc>
        <w:tc>
          <w:tcPr>
            <w:tcW w:w="833" w:type="dxa"/>
            <w:tcBorders>
              <w:top w:val="nil"/>
              <w:left w:val="nil"/>
              <w:bottom w:val="nil"/>
              <w:right w:val="nil"/>
            </w:tcBorders>
            <w:shd w:val="clear" w:color="auto" w:fill="auto"/>
            <w:noWrap/>
            <w:vAlign w:val="center"/>
            <w:hideMark/>
          </w:tcPr>
          <w:p w:rsidR="0043631F" w:rsidRPr="0043631F" w:rsidRDefault="0043631F" w:rsidP="00666F68">
            <w:pPr>
              <w:overflowPunct/>
              <w:autoSpaceDE/>
              <w:autoSpaceDN/>
              <w:adjustRightInd/>
              <w:spacing w:before="60"/>
              <w:jc w:val="right"/>
              <w:textAlignment w:val="auto"/>
              <w:rPr>
                <w:color w:val="000000"/>
              </w:rPr>
            </w:pPr>
            <w:r w:rsidRPr="0043631F">
              <w:rPr>
                <w:color w:val="000000"/>
              </w:rPr>
              <w:t>5%</w:t>
            </w:r>
          </w:p>
        </w:tc>
        <w:tc>
          <w:tcPr>
            <w:tcW w:w="583" w:type="dxa"/>
            <w:tcBorders>
              <w:top w:val="nil"/>
              <w:left w:val="nil"/>
              <w:bottom w:val="nil"/>
              <w:right w:val="nil"/>
            </w:tcBorders>
            <w:shd w:val="clear" w:color="auto" w:fill="auto"/>
            <w:noWrap/>
            <w:vAlign w:val="center"/>
            <w:hideMark/>
          </w:tcPr>
          <w:p w:rsidR="0043631F" w:rsidRPr="0043631F" w:rsidRDefault="0043631F" w:rsidP="00666F68">
            <w:pPr>
              <w:overflowPunct/>
              <w:autoSpaceDE/>
              <w:autoSpaceDN/>
              <w:adjustRightInd/>
              <w:spacing w:before="60"/>
              <w:jc w:val="right"/>
              <w:textAlignment w:val="auto"/>
              <w:rPr>
                <w:color w:val="000000"/>
              </w:rPr>
            </w:pPr>
            <w:r w:rsidRPr="0043631F">
              <w:rPr>
                <w:color w:val="000000"/>
              </w:rPr>
              <w:t>7%</w:t>
            </w:r>
          </w:p>
        </w:tc>
        <w:tc>
          <w:tcPr>
            <w:tcW w:w="850" w:type="dxa"/>
            <w:tcBorders>
              <w:top w:val="nil"/>
              <w:left w:val="nil"/>
              <w:bottom w:val="nil"/>
              <w:right w:val="nil"/>
            </w:tcBorders>
            <w:shd w:val="clear" w:color="auto" w:fill="auto"/>
            <w:noWrap/>
            <w:vAlign w:val="center"/>
            <w:hideMark/>
          </w:tcPr>
          <w:p w:rsidR="0043631F" w:rsidRPr="0043631F" w:rsidRDefault="0043631F" w:rsidP="00666F68">
            <w:pPr>
              <w:overflowPunct/>
              <w:autoSpaceDE/>
              <w:autoSpaceDN/>
              <w:adjustRightInd/>
              <w:spacing w:before="60"/>
              <w:jc w:val="right"/>
              <w:textAlignment w:val="auto"/>
              <w:rPr>
                <w:color w:val="000000"/>
              </w:rPr>
            </w:pPr>
            <w:r w:rsidRPr="0043631F">
              <w:rPr>
                <w:color w:val="000000"/>
              </w:rPr>
              <w:t>8%</w:t>
            </w:r>
          </w:p>
        </w:tc>
        <w:tc>
          <w:tcPr>
            <w:tcW w:w="833" w:type="dxa"/>
            <w:tcBorders>
              <w:top w:val="nil"/>
              <w:left w:val="nil"/>
              <w:bottom w:val="nil"/>
              <w:right w:val="nil"/>
            </w:tcBorders>
            <w:shd w:val="clear" w:color="auto" w:fill="auto"/>
            <w:noWrap/>
            <w:vAlign w:val="center"/>
            <w:hideMark/>
          </w:tcPr>
          <w:p w:rsidR="0043631F" w:rsidRPr="0043631F" w:rsidRDefault="0043631F" w:rsidP="00666F68">
            <w:pPr>
              <w:overflowPunct/>
              <w:autoSpaceDE/>
              <w:autoSpaceDN/>
              <w:adjustRightInd/>
              <w:spacing w:before="60"/>
              <w:jc w:val="right"/>
              <w:textAlignment w:val="auto"/>
              <w:rPr>
                <w:color w:val="000000"/>
              </w:rPr>
            </w:pPr>
            <w:r w:rsidRPr="0043631F">
              <w:rPr>
                <w:color w:val="000000"/>
              </w:rPr>
              <w:t>3%</w:t>
            </w:r>
          </w:p>
        </w:tc>
        <w:tc>
          <w:tcPr>
            <w:tcW w:w="583" w:type="dxa"/>
            <w:tcBorders>
              <w:top w:val="nil"/>
              <w:left w:val="nil"/>
              <w:bottom w:val="nil"/>
              <w:right w:val="nil"/>
            </w:tcBorders>
            <w:shd w:val="clear" w:color="auto" w:fill="auto"/>
            <w:noWrap/>
            <w:vAlign w:val="center"/>
            <w:hideMark/>
          </w:tcPr>
          <w:p w:rsidR="0043631F" w:rsidRPr="0043631F" w:rsidRDefault="0043631F" w:rsidP="00666F68">
            <w:pPr>
              <w:overflowPunct/>
              <w:autoSpaceDE/>
              <w:autoSpaceDN/>
              <w:adjustRightInd/>
              <w:spacing w:before="60"/>
              <w:jc w:val="right"/>
              <w:textAlignment w:val="auto"/>
              <w:rPr>
                <w:color w:val="000000"/>
              </w:rPr>
            </w:pPr>
            <w:r w:rsidRPr="0043631F">
              <w:rPr>
                <w:color w:val="000000"/>
              </w:rPr>
              <w:t>5%</w:t>
            </w:r>
          </w:p>
        </w:tc>
        <w:tc>
          <w:tcPr>
            <w:tcW w:w="850" w:type="dxa"/>
            <w:tcBorders>
              <w:top w:val="nil"/>
              <w:left w:val="nil"/>
              <w:bottom w:val="nil"/>
              <w:right w:val="nil"/>
            </w:tcBorders>
            <w:shd w:val="clear" w:color="auto" w:fill="auto"/>
            <w:noWrap/>
            <w:vAlign w:val="center"/>
            <w:hideMark/>
          </w:tcPr>
          <w:p w:rsidR="0043631F" w:rsidRPr="0043631F" w:rsidRDefault="0043631F" w:rsidP="00666F68">
            <w:pPr>
              <w:overflowPunct/>
              <w:autoSpaceDE/>
              <w:autoSpaceDN/>
              <w:adjustRightInd/>
              <w:spacing w:before="60"/>
              <w:jc w:val="right"/>
              <w:textAlignment w:val="auto"/>
              <w:rPr>
                <w:color w:val="000000"/>
              </w:rPr>
            </w:pPr>
            <w:r w:rsidRPr="0043631F">
              <w:rPr>
                <w:color w:val="000000"/>
              </w:rPr>
              <w:t>6%</w:t>
            </w:r>
          </w:p>
        </w:tc>
        <w:tc>
          <w:tcPr>
            <w:tcW w:w="833" w:type="dxa"/>
            <w:tcBorders>
              <w:top w:val="nil"/>
              <w:left w:val="nil"/>
              <w:bottom w:val="nil"/>
              <w:right w:val="nil"/>
            </w:tcBorders>
            <w:shd w:val="clear" w:color="auto" w:fill="auto"/>
            <w:noWrap/>
            <w:vAlign w:val="center"/>
            <w:hideMark/>
          </w:tcPr>
          <w:p w:rsidR="0043631F" w:rsidRPr="0043631F" w:rsidRDefault="0043631F" w:rsidP="00666F68">
            <w:pPr>
              <w:overflowPunct/>
              <w:autoSpaceDE/>
              <w:autoSpaceDN/>
              <w:adjustRightInd/>
              <w:spacing w:before="60"/>
              <w:jc w:val="right"/>
              <w:textAlignment w:val="auto"/>
              <w:rPr>
                <w:color w:val="000000"/>
              </w:rPr>
            </w:pPr>
            <w:r w:rsidRPr="0043631F">
              <w:rPr>
                <w:color w:val="000000"/>
              </w:rPr>
              <w:t>3%</w:t>
            </w:r>
          </w:p>
        </w:tc>
        <w:tc>
          <w:tcPr>
            <w:tcW w:w="583" w:type="dxa"/>
            <w:tcBorders>
              <w:top w:val="nil"/>
              <w:left w:val="nil"/>
              <w:bottom w:val="nil"/>
              <w:right w:val="nil"/>
            </w:tcBorders>
            <w:shd w:val="clear" w:color="auto" w:fill="auto"/>
            <w:noWrap/>
            <w:vAlign w:val="center"/>
            <w:hideMark/>
          </w:tcPr>
          <w:p w:rsidR="0043631F" w:rsidRPr="0043631F" w:rsidRDefault="0043631F" w:rsidP="00666F68">
            <w:pPr>
              <w:overflowPunct/>
              <w:autoSpaceDE/>
              <w:autoSpaceDN/>
              <w:adjustRightInd/>
              <w:spacing w:before="60"/>
              <w:jc w:val="right"/>
              <w:textAlignment w:val="auto"/>
              <w:rPr>
                <w:color w:val="000000"/>
              </w:rPr>
            </w:pPr>
            <w:r w:rsidRPr="0043631F">
              <w:rPr>
                <w:color w:val="000000"/>
              </w:rPr>
              <w:t>3%</w:t>
            </w:r>
          </w:p>
        </w:tc>
        <w:tc>
          <w:tcPr>
            <w:tcW w:w="850" w:type="dxa"/>
            <w:tcBorders>
              <w:top w:val="nil"/>
              <w:left w:val="nil"/>
              <w:bottom w:val="nil"/>
              <w:right w:val="nil"/>
            </w:tcBorders>
            <w:shd w:val="clear" w:color="auto" w:fill="auto"/>
            <w:noWrap/>
            <w:vAlign w:val="center"/>
            <w:hideMark/>
          </w:tcPr>
          <w:p w:rsidR="0043631F" w:rsidRPr="0043631F" w:rsidRDefault="0043631F" w:rsidP="00666F68">
            <w:pPr>
              <w:overflowPunct/>
              <w:autoSpaceDE/>
              <w:autoSpaceDN/>
              <w:adjustRightInd/>
              <w:spacing w:before="60"/>
              <w:jc w:val="right"/>
              <w:textAlignment w:val="auto"/>
              <w:rPr>
                <w:color w:val="000000"/>
              </w:rPr>
            </w:pPr>
            <w:r w:rsidRPr="0043631F">
              <w:rPr>
                <w:color w:val="000000"/>
              </w:rPr>
              <w:t>3%</w:t>
            </w:r>
          </w:p>
        </w:tc>
      </w:tr>
      <w:tr w:rsidR="0043631F" w:rsidRPr="0043631F" w:rsidTr="000D4BF4">
        <w:trPr>
          <w:trHeight w:val="20"/>
        </w:trPr>
        <w:tc>
          <w:tcPr>
            <w:tcW w:w="1633" w:type="dxa"/>
            <w:tcBorders>
              <w:top w:val="nil"/>
              <w:left w:val="nil"/>
              <w:bottom w:val="nil"/>
              <w:right w:val="nil"/>
            </w:tcBorders>
            <w:shd w:val="clear" w:color="auto" w:fill="auto"/>
            <w:noWrap/>
            <w:vAlign w:val="center"/>
            <w:hideMark/>
          </w:tcPr>
          <w:p w:rsidR="0043631F" w:rsidRPr="0043631F" w:rsidRDefault="0043631F" w:rsidP="0043631F">
            <w:pPr>
              <w:overflowPunct/>
              <w:autoSpaceDE/>
              <w:autoSpaceDN/>
              <w:adjustRightInd/>
              <w:textAlignment w:val="auto"/>
              <w:rPr>
                <w:color w:val="000000"/>
              </w:rPr>
            </w:pPr>
            <w:r w:rsidRPr="0043631F">
              <w:rPr>
                <w:color w:val="000000"/>
              </w:rPr>
              <w:t>Capital Gains</w:t>
            </w:r>
            <w:r w:rsidR="000B6AFF" w:rsidRPr="003D4979">
              <w:rPr>
                <w:b/>
              </w:rPr>
              <w:t>'</w:t>
            </w:r>
          </w:p>
        </w:tc>
        <w:tc>
          <w:tcPr>
            <w:tcW w:w="833" w:type="dxa"/>
            <w:tcBorders>
              <w:top w:val="nil"/>
              <w:left w:val="nil"/>
              <w:bottom w:val="nil"/>
              <w:right w:val="nil"/>
            </w:tcBorders>
            <w:shd w:val="clear" w:color="auto" w:fill="auto"/>
            <w:noWrap/>
            <w:vAlign w:val="center"/>
            <w:hideMark/>
          </w:tcPr>
          <w:p w:rsidR="0043631F" w:rsidRPr="0043631F" w:rsidRDefault="0043631F" w:rsidP="0043631F">
            <w:pPr>
              <w:overflowPunct/>
              <w:autoSpaceDE/>
              <w:autoSpaceDN/>
              <w:adjustRightInd/>
              <w:jc w:val="right"/>
              <w:textAlignment w:val="auto"/>
              <w:rPr>
                <w:color w:val="000000"/>
              </w:rPr>
            </w:pPr>
            <w:r w:rsidRPr="0043631F">
              <w:rPr>
                <w:color w:val="000000"/>
              </w:rPr>
              <w:t>69%</w:t>
            </w:r>
          </w:p>
        </w:tc>
        <w:tc>
          <w:tcPr>
            <w:tcW w:w="583" w:type="dxa"/>
            <w:tcBorders>
              <w:top w:val="nil"/>
              <w:left w:val="nil"/>
              <w:bottom w:val="nil"/>
              <w:right w:val="nil"/>
            </w:tcBorders>
            <w:shd w:val="clear" w:color="auto" w:fill="auto"/>
            <w:noWrap/>
            <w:vAlign w:val="center"/>
            <w:hideMark/>
          </w:tcPr>
          <w:p w:rsidR="0043631F" w:rsidRPr="0043631F" w:rsidRDefault="0043631F" w:rsidP="0043631F">
            <w:pPr>
              <w:overflowPunct/>
              <w:autoSpaceDE/>
              <w:autoSpaceDN/>
              <w:adjustRightInd/>
              <w:jc w:val="right"/>
              <w:textAlignment w:val="auto"/>
              <w:rPr>
                <w:color w:val="000000"/>
              </w:rPr>
            </w:pPr>
            <w:r w:rsidRPr="0043631F">
              <w:rPr>
                <w:color w:val="000000"/>
              </w:rPr>
              <w:t>56%</w:t>
            </w:r>
          </w:p>
        </w:tc>
        <w:tc>
          <w:tcPr>
            <w:tcW w:w="850" w:type="dxa"/>
            <w:tcBorders>
              <w:top w:val="nil"/>
              <w:left w:val="nil"/>
              <w:bottom w:val="nil"/>
              <w:right w:val="nil"/>
            </w:tcBorders>
            <w:shd w:val="clear" w:color="auto" w:fill="auto"/>
            <w:noWrap/>
            <w:vAlign w:val="center"/>
            <w:hideMark/>
          </w:tcPr>
          <w:p w:rsidR="0043631F" w:rsidRPr="0043631F" w:rsidRDefault="0043631F" w:rsidP="0043631F">
            <w:pPr>
              <w:overflowPunct/>
              <w:autoSpaceDE/>
              <w:autoSpaceDN/>
              <w:adjustRightInd/>
              <w:jc w:val="right"/>
              <w:textAlignment w:val="auto"/>
              <w:rPr>
                <w:color w:val="000000"/>
              </w:rPr>
            </w:pPr>
            <w:r w:rsidRPr="0043631F">
              <w:rPr>
                <w:color w:val="000000"/>
              </w:rPr>
              <w:t>52%</w:t>
            </w:r>
          </w:p>
        </w:tc>
        <w:tc>
          <w:tcPr>
            <w:tcW w:w="833" w:type="dxa"/>
            <w:tcBorders>
              <w:top w:val="nil"/>
              <w:left w:val="nil"/>
              <w:bottom w:val="nil"/>
              <w:right w:val="nil"/>
            </w:tcBorders>
            <w:shd w:val="clear" w:color="auto" w:fill="auto"/>
            <w:noWrap/>
            <w:vAlign w:val="center"/>
            <w:hideMark/>
          </w:tcPr>
          <w:p w:rsidR="0043631F" w:rsidRPr="0043631F" w:rsidRDefault="0043631F" w:rsidP="0043631F">
            <w:pPr>
              <w:overflowPunct/>
              <w:autoSpaceDE/>
              <w:autoSpaceDN/>
              <w:adjustRightInd/>
              <w:jc w:val="right"/>
              <w:textAlignment w:val="auto"/>
              <w:rPr>
                <w:color w:val="000000"/>
              </w:rPr>
            </w:pPr>
            <w:r w:rsidRPr="0043631F">
              <w:rPr>
                <w:color w:val="000000"/>
              </w:rPr>
              <w:t>77%</w:t>
            </w:r>
          </w:p>
        </w:tc>
        <w:tc>
          <w:tcPr>
            <w:tcW w:w="583" w:type="dxa"/>
            <w:tcBorders>
              <w:top w:val="nil"/>
              <w:left w:val="nil"/>
              <w:bottom w:val="nil"/>
              <w:right w:val="nil"/>
            </w:tcBorders>
            <w:shd w:val="clear" w:color="auto" w:fill="auto"/>
            <w:noWrap/>
            <w:vAlign w:val="center"/>
            <w:hideMark/>
          </w:tcPr>
          <w:p w:rsidR="0043631F" w:rsidRPr="0043631F" w:rsidRDefault="0043631F" w:rsidP="0043631F">
            <w:pPr>
              <w:overflowPunct/>
              <w:autoSpaceDE/>
              <w:autoSpaceDN/>
              <w:adjustRightInd/>
              <w:jc w:val="right"/>
              <w:textAlignment w:val="auto"/>
              <w:rPr>
                <w:color w:val="000000"/>
              </w:rPr>
            </w:pPr>
            <w:r w:rsidRPr="0043631F">
              <w:rPr>
                <w:color w:val="000000"/>
              </w:rPr>
              <w:t>62%</w:t>
            </w:r>
          </w:p>
        </w:tc>
        <w:tc>
          <w:tcPr>
            <w:tcW w:w="850" w:type="dxa"/>
            <w:tcBorders>
              <w:top w:val="nil"/>
              <w:left w:val="nil"/>
              <w:bottom w:val="nil"/>
              <w:right w:val="nil"/>
            </w:tcBorders>
            <w:shd w:val="clear" w:color="auto" w:fill="auto"/>
            <w:noWrap/>
            <w:vAlign w:val="center"/>
            <w:hideMark/>
          </w:tcPr>
          <w:p w:rsidR="0043631F" w:rsidRPr="0043631F" w:rsidRDefault="0043631F" w:rsidP="0043631F">
            <w:pPr>
              <w:overflowPunct/>
              <w:autoSpaceDE/>
              <w:autoSpaceDN/>
              <w:adjustRightInd/>
              <w:jc w:val="right"/>
              <w:textAlignment w:val="auto"/>
              <w:rPr>
                <w:color w:val="000000"/>
              </w:rPr>
            </w:pPr>
            <w:r w:rsidRPr="0043631F">
              <w:rPr>
                <w:color w:val="000000"/>
              </w:rPr>
              <w:t>56%</w:t>
            </w:r>
          </w:p>
        </w:tc>
        <w:tc>
          <w:tcPr>
            <w:tcW w:w="833" w:type="dxa"/>
            <w:tcBorders>
              <w:top w:val="nil"/>
              <w:left w:val="nil"/>
              <w:bottom w:val="nil"/>
              <w:right w:val="nil"/>
            </w:tcBorders>
            <w:shd w:val="clear" w:color="auto" w:fill="auto"/>
            <w:noWrap/>
            <w:vAlign w:val="center"/>
            <w:hideMark/>
          </w:tcPr>
          <w:p w:rsidR="0043631F" w:rsidRPr="0043631F" w:rsidRDefault="0043631F" w:rsidP="0043631F">
            <w:pPr>
              <w:overflowPunct/>
              <w:autoSpaceDE/>
              <w:autoSpaceDN/>
              <w:adjustRightInd/>
              <w:jc w:val="right"/>
              <w:textAlignment w:val="auto"/>
              <w:rPr>
                <w:color w:val="000000"/>
              </w:rPr>
            </w:pPr>
            <w:r w:rsidRPr="0043631F">
              <w:rPr>
                <w:color w:val="000000"/>
              </w:rPr>
              <w:t>68%</w:t>
            </w:r>
          </w:p>
        </w:tc>
        <w:tc>
          <w:tcPr>
            <w:tcW w:w="583" w:type="dxa"/>
            <w:tcBorders>
              <w:top w:val="nil"/>
              <w:left w:val="nil"/>
              <w:bottom w:val="nil"/>
              <w:right w:val="nil"/>
            </w:tcBorders>
            <w:shd w:val="clear" w:color="auto" w:fill="auto"/>
            <w:noWrap/>
            <w:vAlign w:val="center"/>
            <w:hideMark/>
          </w:tcPr>
          <w:p w:rsidR="0043631F" w:rsidRPr="0043631F" w:rsidRDefault="0043631F" w:rsidP="0043631F">
            <w:pPr>
              <w:overflowPunct/>
              <w:autoSpaceDE/>
              <w:autoSpaceDN/>
              <w:adjustRightInd/>
              <w:jc w:val="right"/>
              <w:textAlignment w:val="auto"/>
              <w:rPr>
                <w:color w:val="000000"/>
              </w:rPr>
            </w:pPr>
            <w:r w:rsidRPr="0043631F">
              <w:rPr>
                <w:color w:val="000000"/>
              </w:rPr>
              <w:t>54%</w:t>
            </w:r>
          </w:p>
        </w:tc>
        <w:tc>
          <w:tcPr>
            <w:tcW w:w="850" w:type="dxa"/>
            <w:tcBorders>
              <w:top w:val="nil"/>
              <w:left w:val="nil"/>
              <w:bottom w:val="nil"/>
              <w:right w:val="nil"/>
            </w:tcBorders>
            <w:shd w:val="clear" w:color="auto" w:fill="auto"/>
            <w:noWrap/>
            <w:vAlign w:val="center"/>
            <w:hideMark/>
          </w:tcPr>
          <w:p w:rsidR="0043631F" w:rsidRPr="0043631F" w:rsidRDefault="0043631F" w:rsidP="0043631F">
            <w:pPr>
              <w:overflowPunct/>
              <w:autoSpaceDE/>
              <w:autoSpaceDN/>
              <w:adjustRightInd/>
              <w:jc w:val="right"/>
              <w:textAlignment w:val="auto"/>
              <w:rPr>
                <w:color w:val="000000"/>
              </w:rPr>
            </w:pPr>
            <w:r w:rsidRPr="0043631F">
              <w:rPr>
                <w:color w:val="000000"/>
              </w:rPr>
              <w:t>48%</w:t>
            </w:r>
          </w:p>
        </w:tc>
      </w:tr>
      <w:tr w:rsidR="0043631F" w:rsidRPr="0043631F" w:rsidTr="000D4BF4">
        <w:trPr>
          <w:trHeight w:val="20"/>
        </w:trPr>
        <w:tc>
          <w:tcPr>
            <w:tcW w:w="1633" w:type="dxa"/>
            <w:tcBorders>
              <w:top w:val="nil"/>
              <w:left w:val="nil"/>
              <w:bottom w:val="nil"/>
              <w:right w:val="nil"/>
            </w:tcBorders>
            <w:shd w:val="clear" w:color="auto" w:fill="auto"/>
            <w:noWrap/>
            <w:vAlign w:val="center"/>
            <w:hideMark/>
          </w:tcPr>
          <w:p w:rsidR="0043631F" w:rsidRPr="0043631F" w:rsidRDefault="0043631F" w:rsidP="0043631F">
            <w:pPr>
              <w:overflowPunct/>
              <w:autoSpaceDE/>
              <w:autoSpaceDN/>
              <w:adjustRightInd/>
              <w:textAlignment w:val="auto"/>
              <w:rPr>
                <w:color w:val="000000"/>
              </w:rPr>
            </w:pPr>
            <w:r w:rsidRPr="0043631F">
              <w:rPr>
                <w:color w:val="000000"/>
              </w:rPr>
              <w:t>Volume</w:t>
            </w:r>
            <w:r w:rsidR="000B6AFF" w:rsidRPr="003D4979">
              <w:rPr>
                <w:b/>
              </w:rPr>
              <w:t>'</w:t>
            </w:r>
            <w:r w:rsidR="000B6AFF">
              <w:rPr>
                <w:color w:val="000000"/>
              </w:rPr>
              <w:t xml:space="preserve"> </w:t>
            </w:r>
          </w:p>
        </w:tc>
        <w:tc>
          <w:tcPr>
            <w:tcW w:w="833" w:type="dxa"/>
            <w:tcBorders>
              <w:top w:val="nil"/>
              <w:left w:val="nil"/>
              <w:bottom w:val="nil"/>
              <w:right w:val="nil"/>
            </w:tcBorders>
            <w:shd w:val="clear" w:color="auto" w:fill="auto"/>
            <w:noWrap/>
            <w:vAlign w:val="center"/>
            <w:hideMark/>
          </w:tcPr>
          <w:p w:rsidR="0043631F" w:rsidRPr="0043631F" w:rsidRDefault="0043631F" w:rsidP="0043631F">
            <w:pPr>
              <w:overflowPunct/>
              <w:autoSpaceDE/>
              <w:autoSpaceDN/>
              <w:adjustRightInd/>
              <w:jc w:val="right"/>
              <w:textAlignment w:val="auto"/>
              <w:rPr>
                <w:color w:val="000000"/>
              </w:rPr>
            </w:pPr>
            <w:r w:rsidRPr="0043631F">
              <w:rPr>
                <w:color w:val="000000"/>
              </w:rPr>
              <w:t>4%</w:t>
            </w:r>
          </w:p>
        </w:tc>
        <w:tc>
          <w:tcPr>
            <w:tcW w:w="583" w:type="dxa"/>
            <w:tcBorders>
              <w:top w:val="nil"/>
              <w:left w:val="nil"/>
              <w:bottom w:val="nil"/>
              <w:right w:val="nil"/>
            </w:tcBorders>
            <w:shd w:val="clear" w:color="auto" w:fill="auto"/>
            <w:noWrap/>
            <w:vAlign w:val="center"/>
            <w:hideMark/>
          </w:tcPr>
          <w:p w:rsidR="0043631F" w:rsidRPr="0043631F" w:rsidRDefault="0043631F" w:rsidP="0043631F">
            <w:pPr>
              <w:overflowPunct/>
              <w:autoSpaceDE/>
              <w:autoSpaceDN/>
              <w:adjustRightInd/>
              <w:jc w:val="right"/>
              <w:textAlignment w:val="auto"/>
              <w:rPr>
                <w:color w:val="000000"/>
              </w:rPr>
            </w:pPr>
            <w:r w:rsidRPr="0043631F">
              <w:rPr>
                <w:color w:val="000000"/>
              </w:rPr>
              <w:t>4%</w:t>
            </w:r>
          </w:p>
        </w:tc>
        <w:tc>
          <w:tcPr>
            <w:tcW w:w="850" w:type="dxa"/>
            <w:tcBorders>
              <w:top w:val="nil"/>
              <w:left w:val="nil"/>
              <w:bottom w:val="nil"/>
              <w:right w:val="nil"/>
            </w:tcBorders>
            <w:shd w:val="clear" w:color="auto" w:fill="auto"/>
            <w:noWrap/>
            <w:vAlign w:val="center"/>
            <w:hideMark/>
          </w:tcPr>
          <w:p w:rsidR="0043631F" w:rsidRPr="0043631F" w:rsidRDefault="0043631F" w:rsidP="0043631F">
            <w:pPr>
              <w:overflowPunct/>
              <w:autoSpaceDE/>
              <w:autoSpaceDN/>
              <w:adjustRightInd/>
              <w:jc w:val="right"/>
              <w:textAlignment w:val="auto"/>
              <w:rPr>
                <w:color w:val="000000"/>
              </w:rPr>
            </w:pPr>
            <w:r w:rsidRPr="0043631F">
              <w:rPr>
                <w:color w:val="000000"/>
              </w:rPr>
              <w:t>5%</w:t>
            </w:r>
          </w:p>
        </w:tc>
        <w:tc>
          <w:tcPr>
            <w:tcW w:w="833" w:type="dxa"/>
            <w:tcBorders>
              <w:top w:val="nil"/>
              <w:left w:val="nil"/>
              <w:bottom w:val="nil"/>
              <w:right w:val="nil"/>
            </w:tcBorders>
            <w:shd w:val="clear" w:color="auto" w:fill="auto"/>
            <w:noWrap/>
            <w:vAlign w:val="center"/>
            <w:hideMark/>
          </w:tcPr>
          <w:p w:rsidR="0043631F" w:rsidRPr="0043631F" w:rsidRDefault="0043631F" w:rsidP="0043631F">
            <w:pPr>
              <w:overflowPunct/>
              <w:autoSpaceDE/>
              <w:autoSpaceDN/>
              <w:adjustRightInd/>
              <w:jc w:val="right"/>
              <w:textAlignment w:val="auto"/>
              <w:rPr>
                <w:color w:val="000000"/>
              </w:rPr>
            </w:pPr>
            <w:r w:rsidRPr="0043631F">
              <w:rPr>
                <w:color w:val="000000"/>
              </w:rPr>
              <w:t>1%</w:t>
            </w:r>
          </w:p>
        </w:tc>
        <w:tc>
          <w:tcPr>
            <w:tcW w:w="583" w:type="dxa"/>
            <w:tcBorders>
              <w:top w:val="nil"/>
              <w:left w:val="nil"/>
              <w:bottom w:val="nil"/>
              <w:right w:val="nil"/>
            </w:tcBorders>
            <w:shd w:val="clear" w:color="auto" w:fill="auto"/>
            <w:noWrap/>
            <w:vAlign w:val="center"/>
            <w:hideMark/>
          </w:tcPr>
          <w:p w:rsidR="0043631F" w:rsidRPr="0043631F" w:rsidRDefault="0043631F" w:rsidP="0043631F">
            <w:pPr>
              <w:overflowPunct/>
              <w:autoSpaceDE/>
              <w:autoSpaceDN/>
              <w:adjustRightInd/>
              <w:jc w:val="right"/>
              <w:textAlignment w:val="auto"/>
              <w:rPr>
                <w:color w:val="000000"/>
              </w:rPr>
            </w:pPr>
            <w:r w:rsidRPr="0043631F">
              <w:rPr>
                <w:color w:val="000000"/>
              </w:rPr>
              <w:t>2%</w:t>
            </w:r>
          </w:p>
        </w:tc>
        <w:tc>
          <w:tcPr>
            <w:tcW w:w="850" w:type="dxa"/>
            <w:tcBorders>
              <w:top w:val="nil"/>
              <w:left w:val="nil"/>
              <w:bottom w:val="nil"/>
              <w:right w:val="nil"/>
            </w:tcBorders>
            <w:shd w:val="clear" w:color="auto" w:fill="auto"/>
            <w:noWrap/>
            <w:vAlign w:val="center"/>
            <w:hideMark/>
          </w:tcPr>
          <w:p w:rsidR="0043631F" w:rsidRPr="0043631F" w:rsidRDefault="0043631F" w:rsidP="0043631F">
            <w:pPr>
              <w:overflowPunct/>
              <w:autoSpaceDE/>
              <w:autoSpaceDN/>
              <w:adjustRightInd/>
              <w:jc w:val="right"/>
              <w:textAlignment w:val="auto"/>
              <w:rPr>
                <w:color w:val="000000"/>
              </w:rPr>
            </w:pPr>
            <w:r w:rsidRPr="0043631F">
              <w:rPr>
                <w:color w:val="000000"/>
              </w:rPr>
              <w:t>3%</w:t>
            </w:r>
          </w:p>
        </w:tc>
        <w:tc>
          <w:tcPr>
            <w:tcW w:w="833" w:type="dxa"/>
            <w:tcBorders>
              <w:top w:val="nil"/>
              <w:left w:val="nil"/>
              <w:bottom w:val="nil"/>
              <w:right w:val="nil"/>
            </w:tcBorders>
            <w:shd w:val="clear" w:color="auto" w:fill="auto"/>
            <w:noWrap/>
            <w:vAlign w:val="center"/>
            <w:hideMark/>
          </w:tcPr>
          <w:p w:rsidR="0043631F" w:rsidRPr="0043631F" w:rsidRDefault="0043631F" w:rsidP="0043631F">
            <w:pPr>
              <w:overflowPunct/>
              <w:autoSpaceDE/>
              <w:autoSpaceDN/>
              <w:adjustRightInd/>
              <w:jc w:val="right"/>
              <w:textAlignment w:val="auto"/>
              <w:rPr>
                <w:color w:val="000000"/>
              </w:rPr>
            </w:pPr>
            <w:r w:rsidRPr="0043631F">
              <w:rPr>
                <w:color w:val="000000"/>
              </w:rPr>
              <w:t>3%</w:t>
            </w:r>
          </w:p>
        </w:tc>
        <w:tc>
          <w:tcPr>
            <w:tcW w:w="583" w:type="dxa"/>
            <w:tcBorders>
              <w:top w:val="nil"/>
              <w:left w:val="nil"/>
              <w:bottom w:val="nil"/>
              <w:right w:val="nil"/>
            </w:tcBorders>
            <w:shd w:val="clear" w:color="auto" w:fill="auto"/>
            <w:noWrap/>
            <w:vAlign w:val="center"/>
            <w:hideMark/>
          </w:tcPr>
          <w:p w:rsidR="0043631F" w:rsidRPr="0043631F" w:rsidRDefault="0043631F" w:rsidP="0043631F">
            <w:pPr>
              <w:overflowPunct/>
              <w:autoSpaceDE/>
              <w:autoSpaceDN/>
              <w:adjustRightInd/>
              <w:jc w:val="right"/>
              <w:textAlignment w:val="auto"/>
              <w:rPr>
                <w:color w:val="000000"/>
              </w:rPr>
            </w:pPr>
            <w:r w:rsidRPr="0043631F">
              <w:rPr>
                <w:color w:val="000000"/>
              </w:rPr>
              <w:t>4%</w:t>
            </w:r>
          </w:p>
        </w:tc>
        <w:tc>
          <w:tcPr>
            <w:tcW w:w="850" w:type="dxa"/>
            <w:tcBorders>
              <w:top w:val="nil"/>
              <w:left w:val="nil"/>
              <w:bottom w:val="nil"/>
              <w:right w:val="nil"/>
            </w:tcBorders>
            <w:shd w:val="clear" w:color="auto" w:fill="auto"/>
            <w:noWrap/>
            <w:vAlign w:val="center"/>
            <w:hideMark/>
          </w:tcPr>
          <w:p w:rsidR="0043631F" w:rsidRPr="0043631F" w:rsidRDefault="0043631F" w:rsidP="0043631F">
            <w:pPr>
              <w:overflowPunct/>
              <w:autoSpaceDE/>
              <w:autoSpaceDN/>
              <w:adjustRightInd/>
              <w:jc w:val="right"/>
              <w:textAlignment w:val="auto"/>
              <w:rPr>
                <w:color w:val="000000"/>
              </w:rPr>
            </w:pPr>
            <w:r w:rsidRPr="0043631F">
              <w:rPr>
                <w:color w:val="000000"/>
              </w:rPr>
              <w:t>5%</w:t>
            </w:r>
          </w:p>
        </w:tc>
      </w:tr>
      <w:tr w:rsidR="0043631F" w:rsidRPr="0043631F" w:rsidTr="000D4BF4">
        <w:trPr>
          <w:trHeight w:val="20"/>
        </w:trPr>
        <w:tc>
          <w:tcPr>
            <w:tcW w:w="1633" w:type="dxa"/>
            <w:tcBorders>
              <w:top w:val="nil"/>
              <w:left w:val="nil"/>
              <w:bottom w:val="single" w:sz="12" w:space="0" w:color="auto"/>
              <w:right w:val="nil"/>
            </w:tcBorders>
            <w:shd w:val="clear" w:color="auto" w:fill="auto"/>
            <w:noWrap/>
            <w:vAlign w:val="center"/>
            <w:hideMark/>
          </w:tcPr>
          <w:p w:rsidR="0043631F" w:rsidRPr="0043631F" w:rsidRDefault="0043631F" w:rsidP="00666F68">
            <w:pPr>
              <w:overflowPunct/>
              <w:autoSpaceDE/>
              <w:autoSpaceDN/>
              <w:adjustRightInd/>
              <w:spacing w:after="60"/>
              <w:textAlignment w:val="auto"/>
              <w:rPr>
                <w:color w:val="000000"/>
              </w:rPr>
            </w:pPr>
            <w:r w:rsidRPr="0043631F">
              <w:rPr>
                <w:color w:val="000000"/>
              </w:rPr>
              <w:t>CRE Tightening</w:t>
            </w:r>
          </w:p>
        </w:tc>
        <w:tc>
          <w:tcPr>
            <w:tcW w:w="833" w:type="dxa"/>
            <w:tcBorders>
              <w:top w:val="nil"/>
              <w:left w:val="nil"/>
              <w:bottom w:val="single" w:sz="12" w:space="0" w:color="auto"/>
              <w:right w:val="nil"/>
            </w:tcBorders>
            <w:shd w:val="clear" w:color="auto" w:fill="auto"/>
            <w:noWrap/>
            <w:vAlign w:val="center"/>
            <w:hideMark/>
          </w:tcPr>
          <w:p w:rsidR="0043631F" w:rsidRPr="0043631F" w:rsidRDefault="0043631F" w:rsidP="00666F68">
            <w:pPr>
              <w:overflowPunct/>
              <w:autoSpaceDE/>
              <w:autoSpaceDN/>
              <w:adjustRightInd/>
              <w:spacing w:after="60"/>
              <w:jc w:val="right"/>
              <w:textAlignment w:val="auto"/>
              <w:rPr>
                <w:color w:val="000000"/>
              </w:rPr>
            </w:pPr>
            <w:r w:rsidRPr="0043631F">
              <w:rPr>
                <w:color w:val="000000"/>
              </w:rPr>
              <w:t>22%</w:t>
            </w:r>
          </w:p>
        </w:tc>
        <w:tc>
          <w:tcPr>
            <w:tcW w:w="583" w:type="dxa"/>
            <w:tcBorders>
              <w:top w:val="nil"/>
              <w:left w:val="nil"/>
              <w:bottom w:val="single" w:sz="12" w:space="0" w:color="auto"/>
              <w:right w:val="nil"/>
            </w:tcBorders>
            <w:shd w:val="clear" w:color="auto" w:fill="auto"/>
            <w:noWrap/>
            <w:vAlign w:val="center"/>
            <w:hideMark/>
          </w:tcPr>
          <w:p w:rsidR="0043631F" w:rsidRPr="0043631F" w:rsidRDefault="0043631F" w:rsidP="00666F68">
            <w:pPr>
              <w:overflowPunct/>
              <w:autoSpaceDE/>
              <w:autoSpaceDN/>
              <w:adjustRightInd/>
              <w:spacing w:after="60"/>
              <w:jc w:val="right"/>
              <w:textAlignment w:val="auto"/>
              <w:rPr>
                <w:color w:val="000000"/>
              </w:rPr>
            </w:pPr>
            <w:r w:rsidRPr="0043631F">
              <w:rPr>
                <w:color w:val="000000"/>
              </w:rPr>
              <w:t>32%</w:t>
            </w:r>
          </w:p>
        </w:tc>
        <w:tc>
          <w:tcPr>
            <w:tcW w:w="850" w:type="dxa"/>
            <w:tcBorders>
              <w:top w:val="nil"/>
              <w:left w:val="nil"/>
              <w:bottom w:val="single" w:sz="12" w:space="0" w:color="auto"/>
              <w:right w:val="nil"/>
            </w:tcBorders>
            <w:shd w:val="clear" w:color="auto" w:fill="auto"/>
            <w:noWrap/>
            <w:vAlign w:val="center"/>
            <w:hideMark/>
          </w:tcPr>
          <w:p w:rsidR="0043631F" w:rsidRPr="0043631F" w:rsidRDefault="0043631F" w:rsidP="00666F68">
            <w:pPr>
              <w:overflowPunct/>
              <w:autoSpaceDE/>
              <w:autoSpaceDN/>
              <w:adjustRightInd/>
              <w:spacing w:after="60"/>
              <w:jc w:val="right"/>
              <w:textAlignment w:val="auto"/>
              <w:rPr>
                <w:color w:val="000000"/>
              </w:rPr>
            </w:pPr>
            <w:r w:rsidRPr="0043631F">
              <w:rPr>
                <w:color w:val="000000"/>
              </w:rPr>
              <w:t>35%</w:t>
            </w:r>
          </w:p>
        </w:tc>
        <w:tc>
          <w:tcPr>
            <w:tcW w:w="833" w:type="dxa"/>
            <w:tcBorders>
              <w:top w:val="nil"/>
              <w:left w:val="nil"/>
              <w:bottom w:val="single" w:sz="12" w:space="0" w:color="auto"/>
              <w:right w:val="nil"/>
            </w:tcBorders>
            <w:shd w:val="clear" w:color="auto" w:fill="auto"/>
            <w:noWrap/>
            <w:vAlign w:val="center"/>
            <w:hideMark/>
          </w:tcPr>
          <w:p w:rsidR="0043631F" w:rsidRPr="0043631F" w:rsidRDefault="0043631F" w:rsidP="00666F68">
            <w:pPr>
              <w:overflowPunct/>
              <w:autoSpaceDE/>
              <w:autoSpaceDN/>
              <w:adjustRightInd/>
              <w:spacing w:after="60"/>
              <w:jc w:val="right"/>
              <w:textAlignment w:val="auto"/>
              <w:rPr>
                <w:color w:val="000000"/>
              </w:rPr>
            </w:pPr>
            <w:r w:rsidRPr="0043631F">
              <w:rPr>
                <w:color w:val="000000"/>
              </w:rPr>
              <w:t>19%</w:t>
            </w:r>
          </w:p>
        </w:tc>
        <w:tc>
          <w:tcPr>
            <w:tcW w:w="583" w:type="dxa"/>
            <w:tcBorders>
              <w:top w:val="nil"/>
              <w:left w:val="nil"/>
              <w:bottom w:val="single" w:sz="12" w:space="0" w:color="auto"/>
              <w:right w:val="nil"/>
            </w:tcBorders>
            <w:shd w:val="clear" w:color="auto" w:fill="auto"/>
            <w:noWrap/>
            <w:vAlign w:val="center"/>
            <w:hideMark/>
          </w:tcPr>
          <w:p w:rsidR="0043631F" w:rsidRPr="0043631F" w:rsidRDefault="0043631F" w:rsidP="00666F68">
            <w:pPr>
              <w:overflowPunct/>
              <w:autoSpaceDE/>
              <w:autoSpaceDN/>
              <w:adjustRightInd/>
              <w:spacing w:after="60"/>
              <w:jc w:val="right"/>
              <w:textAlignment w:val="auto"/>
              <w:rPr>
                <w:color w:val="000000"/>
              </w:rPr>
            </w:pPr>
            <w:r w:rsidRPr="0043631F">
              <w:rPr>
                <w:color w:val="000000"/>
              </w:rPr>
              <w:t>30%</w:t>
            </w:r>
          </w:p>
        </w:tc>
        <w:tc>
          <w:tcPr>
            <w:tcW w:w="850" w:type="dxa"/>
            <w:tcBorders>
              <w:top w:val="nil"/>
              <w:left w:val="nil"/>
              <w:bottom w:val="single" w:sz="12" w:space="0" w:color="auto"/>
              <w:right w:val="nil"/>
            </w:tcBorders>
            <w:shd w:val="clear" w:color="auto" w:fill="auto"/>
            <w:noWrap/>
            <w:vAlign w:val="center"/>
            <w:hideMark/>
          </w:tcPr>
          <w:p w:rsidR="0043631F" w:rsidRPr="0043631F" w:rsidRDefault="0043631F" w:rsidP="00666F68">
            <w:pPr>
              <w:overflowPunct/>
              <w:autoSpaceDE/>
              <w:autoSpaceDN/>
              <w:adjustRightInd/>
              <w:spacing w:after="60"/>
              <w:jc w:val="right"/>
              <w:textAlignment w:val="auto"/>
              <w:rPr>
                <w:color w:val="000000"/>
              </w:rPr>
            </w:pPr>
            <w:r w:rsidRPr="0043631F">
              <w:rPr>
                <w:color w:val="000000"/>
              </w:rPr>
              <w:t>34%</w:t>
            </w:r>
          </w:p>
        </w:tc>
        <w:tc>
          <w:tcPr>
            <w:tcW w:w="833" w:type="dxa"/>
            <w:tcBorders>
              <w:top w:val="nil"/>
              <w:left w:val="nil"/>
              <w:bottom w:val="single" w:sz="12" w:space="0" w:color="auto"/>
              <w:right w:val="nil"/>
            </w:tcBorders>
            <w:shd w:val="clear" w:color="auto" w:fill="auto"/>
            <w:noWrap/>
            <w:vAlign w:val="center"/>
            <w:hideMark/>
          </w:tcPr>
          <w:p w:rsidR="0043631F" w:rsidRPr="0043631F" w:rsidRDefault="0043631F" w:rsidP="00666F68">
            <w:pPr>
              <w:overflowPunct/>
              <w:autoSpaceDE/>
              <w:autoSpaceDN/>
              <w:adjustRightInd/>
              <w:spacing w:after="60"/>
              <w:jc w:val="right"/>
              <w:textAlignment w:val="auto"/>
              <w:rPr>
                <w:color w:val="000000"/>
              </w:rPr>
            </w:pPr>
            <w:r w:rsidRPr="0043631F">
              <w:rPr>
                <w:color w:val="000000"/>
              </w:rPr>
              <w:t>26%</w:t>
            </w:r>
          </w:p>
        </w:tc>
        <w:tc>
          <w:tcPr>
            <w:tcW w:w="583" w:type="dxa"/>
            <w:tcBorders>
              <w:top w:val="nil"/>
              <w:left w:val="nil"/>
              <w:bottom w:val="single" w:sz="12" w:space="0" w:color="auto"/>
              <w:right w:val="nil"/>
            </w:tcBorders>
            <w:shd w:val="clear" w:color="auto" w:fill="auto"/>
            <w:noWrap/>
            <w:vAlign w:val="center"/>
            <w:hideMark/>
          </w:tcPr>
          <w:p w:rsidR="0043631F" w:rsidRPr="0043631F" w:rsidRDefault="0043631F" w:rsidP="00666F68">
            <w:pPr>
              <w:overflowPunct/>
              <w:autoSpaceDE/>
              <w:autoSpaceDN/>
              <w:adjustRightInd/>
              <w:spacing w:after="60"/>
              <w:jc w:val="right"/>
              <w:textAlignment w:val="auto"/>
              <w:rPr>
                <w:color w:val="000000"/>
              </w:rPr>
            </w:pPr>
            <w:r w:rsidRPr="0043631F">
              <w:rPr>
                <w:color w:val="000000"/>
              </w:rPr>
              <w:t>39%</w:t>
            </w:r>
          </w:p>
        </w:tc>
        <w:tc>
          <w:tcPr>
            <w:tcW w:w="850" w:type="dxa"/>
            <w:tcBorders>
              <w:top w:val="nil"/>
              <w:left w:val="nil"/>
              <w:bottom w:val="single" w:sz="12" w:space="0" w:color="auto"/>
              <w:right w:val="nil"/>
            </w:tcBorders>
            <w:shd w:val="clear" w:color="auto" w:fill="auto"/>
            <w:noWrap/>
            <w:vAlign w:val="center"/>
            <w:hideMark/>
          </w:tcPr>
          <w:p w:rsidR="0043631F" w:rsidRPr="0043631F" w:rsidRDefault="0043631F" w:rsidP="00666F68">
            <w:pPr>
              <w:overflowPunct/>
              <w:autoSpaceDE/>
              <w:autoSpaceDN/>
              <w:adjustRightInd/>
              <w:spacing w:after="60"/>
              <w:jc w:val="right"/>
              <w:textAlignment w:val="auto"/>
              <w:rPr>
                <w:color w:val="000000"/>
              </w:rPr>
            </w:pPr>
            <w:r w:rsidRPr="0043631F">
              <w:rPr>
                <w:color w:val="000000"/>
              </w:rPr>
              <w:t>45%</w:t>
            </w:r>
          </w:p>
        </w:tc>
      </w:tr>
    </w:tbl>
    <w:p w:rsidR="0043631F" w:rsidRDefault="00B87AD1" w:rsidP="00B87AD1">
      <w:pPr>
        <w:overflowPunct/>
        <w:autoSpaceDE/>
        <w:autoSpaceDN/>
        <w:adjustRightInd/>
        <w:spacing w:before="120" w:line="216" w:lineRule="auto"/>
        <w:ind w:right="180"/>
        <w:jc w:val="both"/>
        <w:textAlignment w:val="auto"/>
      </w:pPr>
      <w:r w:rsidRPr="001B687A">
        <w:rPr>
          <w:i/>
        </w:rPr>
        <w:t>Notes:</w:t>
      </w:r>
      <w:r w:rsidRPr="001B687A">
        <w:t xml:space="preserve"> This table presents </w:t>
      </w:r>
      <w:r>
        <w:t xml:space="preserve">results for </w:t>
      </w:r>
      <w:r w:rsidR="000B6AFF">
        <w:t xml:space="preserve">estimations </w:t>
      </w:r>
      <w:r>
        <w:t>of the VAR:4 model</w:t>
      </w:r>
      <w:r w:rsidR="000B6AFF">
        <w:t xml:space="preserve"> using data from Real Capital Analytics </w:t>
      </w:r>
      <w:r w:rsidR="00055FF2">
        <w:t xml:space="preserve">(RCA) </w:t>
      </w:r>
      <w:r w:rsidR="000B6AFF">
        <w:t>at the monthly frequency, which is available from December 2000 to March 2014 (160 observations)</w:t>
      </w:r>
      <w:r>
        <w:t xml:space="preserve">. </w:t>
      </w:r>
      <w:r w:rsidR="000B6AFF">
        <w:t>Estimations are provided for the Office, Industrial, and Retail sectors. NOI Growth, Capital Gains</w:t>
      </w:r>
      <w:r w:rsidR="000B6AFF" w:rsidRPr="003D4979">
        <w:rPr>
          <w:b/>
        </w:rPr>
        <w:t>'</w:t>
      </w:r>
      <w:r w:rsidR="000B6AFF">
        <w:t>, and Volume</w:t>
      </w:r>
      <w:r w:rsidR="000B6AFF" w:rsidRPr="003D4979">
        <w:rPr>
          <w:b/>
        </w:rPr>
        <w:t>'</w:t>
      </w:r>
      <w:r w:rsidR="000B6AFF">
        <w:t xml:space="preserve"> are measured for each property type. NOI is reported </w:t>
      </w:r>
      <w:r w:rsidR="00055FF2">
        <w:t xml:space="preserve">in the RCA database </w:t>
      </w:r>
      <w:r w:rsidR="000B6AFF">
        <w:t xml:space="preserve">on a USD per square foot basis, and NOI Growth </w:t>
      </w:r>
      <w:r w:rsidR="00BB5F7F">
        <w:t xml:space="preserve">calculates </w:t>
      </w:r>
      <w:r w:rsidR="000B6AFF">
        <w:t xml:space="preserve">the percentage change from the </w:t>
      </w:r>
      <w:r w:rsidR="00055FF2">
        <w:t>prior period</w:t>
      </w:r>
      <w:r w:rsidR="000B6AFF">
        <w:t xml:space="preserve">. </w:t>
      </w:r>
      <w:r w:rsidR="00BB5F7F">
        <w:t>Capital Gains</w:t>
      </w:r>
      <w:r w:rsidR="00BB5F7F" w:rsidRPr="003D4979">
        <w:rPr>
          <w:b/>
        </w:rPr>
        <w:t>'</w:t>
      </w:r>
      <w:r w:rsidR="00055FF2">
        <w:t xml:space="preserve"> measures the percentage change in the Moody’s/RCA</w:t>
      </w:r>
      <w:r w:rsidR="00BB5F7F">
        <w:t xml:space="preserve"> </w:t>
      </w:r>
      <w:r w:rsidR="00055FF2">
        <w:t xml:space="preserve">Commercial Property Price Index (CPPI) for the respective property type. </w:t>
      </w:r>
      <w:r w:rsidR="00BB5F7F">
        <w:t>Volume</w:t>
      </w:r>
      <w:r w:rsidR="00BB5F7F" w:rsidRPr="003D4979">
        <w:rPr>
          <w:b/>
        </w:rPr>
        <w:t>'</w:t>
      </w:r>
      <w:r w:rsidR="00BB5F7F">
        <w:t xml:space="preserve"> </w:t>
      </w:r>
      <w:r w:rsidR="00055FF2">
        <w:t xml:space="preserve">provides a direct measure of the total dollar amount of transaction volume in a given sector, based on the RCA data. </w:t>
      </w:r>
      <w:r>
        <w:t xml:space="preserve">Panel A displays the parameter estimates (Coefficient), along with the corresponding t-statistic in parentheses. </w:t>
      </w:r>
      <w:r w:rsidRPr="001B687A">
        <w:rPr>
          <w:vertAlign w:val="superscript"/>
        </w:rPr>
        <w:t>***</w:t>
      </w:r>
      <w:r>
        <w:t xml:space="preserve"> </w:t>
      </w:r>
      <w:r w:rsidR="00055FF2">
        <w:t xml:space="preserve">and </w:t>
      </w:r>
      <w:r w:rsidR="00055FF2" w:rsidRPr="001B687A">
        <w:rPr>
          <w:vertAlign w:val="superscript"/>
        </w:rPr>
        <w:t>**</w:t>
      </w:r>
      <w:r w:rsidR="00055FF2">
        <w:rPr>
          <w:vertAlign w:val="superscript"/>
        </w:rPr>
        <w:t xml:space="preserve"> </w:t>
      </w:r>
      <w:r w:rsidR="00055FF2">
        <w:t>indicate</w:t>
      </w:r>
      <w:r>
        <w:t xml:space="preserve"> statistically significant coefficients at the 1% </w:t>
      </w:r>
      <w:r w:rsidR="00055FF2">
        <w:t xml:space="preserve">and 5% </w:t>
      </w:r>
      <w:r>
        <w:t>level</w:t>
      </w:r>
      <w:r w:rsidR="00055FF2">
        <w:t>s respectively</w:t>
      </w:r>
      <w:r>
        <w:t>. Panel B displays the variance decompositions from these alternate estimations. T</w:t>
      </w:r>
      <w:r w:rsidRPr="002C3FC9">
        <w:t xml:space="preserve">he percentage of forecast error variance </w:t>
      </w:r>
      <w:r w:rsidR="00770681">
        <w:t>for</w:t>
      </w:r>
      <w:r w:rsidRPr="002C3FC9">
        <w:t xml:space="preserve"> </w:t>
      </w:r>
      <w:r w:rsidRPr="00EB5824">
        <w:t>Capital Gains</w:t>
      </w:r>
      <w:r w:rsidR="00FD516E" w:rsidRPr="003D4979">
        <w:rPr>
          <w:b/>
        </w:rPr>
        <w:t>'</w:t>
      </w:r>
      <w:r>
        <w:t xml:space="preserve"> </w:t>
      </w:r>
      <w:r w:rsidRPr="002C3FC9">
        <w:t>that is explain</w:t>
      </w:r>
      <w:r>
        <w:t>ed</w:t>
      </w:r>
      <w:r w:rsidRPr="002C3FC9">
        <w:t xml:space="preserve"> by past realized values of the row variables</w:t>
      </w:r>
      <w:r>
        <w:t xml:space="preserve"> is reported</w:t>
      </w:r>
      <w:r w:rsidRPr="002C3FC9">
        <w:t xml:space="preserve">. </w:t>
      </w:r>
      <w:r>
        <w:t>The forecast period is quarters</w:t>
      </w:r>
      <w:r w:rsidR="00FF5F8C">
        <w:t xml:space="preserve"> with </w:t>
      </w:r>
      <w:r>
        <w:t>results shown for the forecast error variance of 4, 8, and 12 quarters ahead. All estimations are for the specification with only endogenous variables included</w:t>
      </w:r>
      <w:r w:rsidR="00FF5F8C">
        <w:t>;</w:t>
      </w:r>
      <w:r>
        <w:t xml:space="preserve"> the only results reported in the Table above are for the equation with Capital Gains</w:t>
      </w:r>
      <w:r w:rsidR="00FD516E" w:rsidRPr="003D4979">
        <w:rPr>
          <w:b/>
        </w:rPr>
        <w:t>'</w:t>
      </w:r>
      <w:r>
        <w:t xml:space="preserve"> as the dependent variable.</w:t>
      </w:r>
    </w:p>
    <w:p w:rsidR="000769A4" w:rsidRDefault="000769A4" w:rsidP="00B537C1">
      <w:pPr>
        <w:overflowPunct/>
        <w:autoSpaceDE/>
        <w:autoSpaceDN/>
        <w:adjustRightInd/>
        <w:textAlignment w:val="auto"/>
        <w:rPr>
          <w:color w:val="0070C0"/>
        </w:rPr>
      </w:pPr>
    </w:p>
    <w:p w:rsidR="00B87AD1" w:rsidRDefault="00B87AD1" w:rsidP="00B537C1">
      <w:pPr>
        <w:overflowPunct/>
        <w:autoSpaceDE/>
        <w:autoSpaceDN/>
        <w:adjustRightInd/>
        <w:textAlignment w:val="auto"/>
        <w:rPr>
          <w:color w:val="0070C0"/>
        </w:rPr>
      </w:pPr>
    </w:p>
    <w:p w:rsidR="0048014D" w:rsidRDefault="0048014D" w:rsidP="00B537C1">
      <w:pPr>
        <w:overflowPunct/>
        <w:autoSpaceDE/>
        <w:autoSpaceDN/>
        <w:adjustRightInd/>
        <w:textAlignment w:val="auto"/>
        <w:rPr>
          <w:color w:val="0070C0"/>
          <w:sz w:val="22"/>
          <w:szCs w:val="22"/>
        </w:rPr>
      </w:pPr>
    </w:p>
    <w:sectPr w:rsidR="0048014D" w:rsidSect="006D3AA2">
      <w:headerReference w:type="default" r:id="rId15"/>
      <w:footerReference w:type="even" r:id="rId16"/>
      <w:footerReference w:type="default" r:id="rId17"/>
      <w:pgSz w:w="12240" w:h="15840"/>
      <w:pgMar w:top="1440" w:right="1800" w:bottom="1440" w:left="1800" w:header="720" w:footer="720" w:gutter="0"/>
      <w:pgNumType w:start="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4E26" w:rsidRDefault="00DB4E26" w:rsidP="00873E82">
      <w:r>
        <w:separator/>
      </w:r>
    </w:p>
  </w:endnote>
  <w:endnote w:type="continuationSeparator" w:id="0">
    <w:p w:rsidR="00DB4E26" w:rsidRDefault="00DB4E26" w:rsidP="00873E82">
      <w:r>
        <w:continuationSeparator/>
      </w:r>
    </w:p>
  </w:endnote>
  <w:endnote w:type="continuationNotice" w:id="1">
    <w:p w:rsidR="00DB4E26" w:rsidRDefault="00DB4E26"/>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27A" w:rsidRDefault="002D0A3A">
    <w:pPr>
      <w:pStyle w:val="Footer"/>
      <w:framePr w:wrap="around" w:vAnchor="text" w:hAnchor="margin" w:xAlign="right" w:y="1"/>
      <w:rPr>
        <w:rStyle w:val="PageNumber"/>
      </w:rPr>
    </w:pPr>
    <w:r>
      <w:rPr>
        <w:rStyle w:val="PageNumber"/>
      </w:rPr>
      <w:fldChar w:fldCharType="begin"/>
    </w:r>
    <w:r w:rsidR="00E5727A">
      <w:rPr>
        <w:rStyle w:val="PageNumber"/>
      </w:rPr>
      <w:instrText xml:space="preserve">PAGE  </w:instrText>
    </w:r>
    <w:r>
      <w:rPr>
        <w:rStyle w:val="PageNumber"/>
      </w:rPr>
      <w:fldChar w:fldCharType="end"/>
    </w:r>
  </w:p>
  <w:p w:rsidR="00E5727A" w:rsidRDefault="00E5727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27A" w:rsidRPr="00BE52DA" w:rsidRDefault="002D0A3A">
    <w:pPr>
      <w:pStyle w:val="Footer"/>
      <w:framePr w:wrap="around" w:vAnchor="text" w:hAnchor="margin" w:xAlign="right" w:y="1"/>
      <w:rPr>
        <w:rStyle w:val="PageNumber"/>
        <w:sz w:val="22"/>
        <w:szCs w:val="22"/>
      </w:rPr>
    </w:pPr>
    <w:r w:rsidRPr="00BE52DA">
      <w:rPr>
        <w:rStyle w:val="PageNumber"/>
        <w:sz w:val="22"/>
        <w:szCs w:val="22"/>
      </w:rPr>
      <w:fldChar w:fldCharType="begin"/>
    </w:r>
    <w:r w:rsidR="00E5727A" w:rsidRPr="00BE52DA">
      <w:rPr>
        <w:rStyle w:val="PageNumber"/>
        <w:sz w:val="22"/>
        <w:szCs w:val="22"/>
      </w:rPr>
      <w:instrText xml:space="preserve">PAGE  </w:instrText>
    </w:r>
    <w:r w:rsidRPr="00BE52DA">
      <w:rPr>
        <w:rStyle w:val="PageNumber"/>
        <w:sz w:val="22"/>
        <w:szCs w:val="22"/>
      </w:rPr>
      <w:fldChar w:fldCharType="separate"/>
    </w:r>
    <w:r w:rsidR="007C1AF6">
      <w:rPr>
        <w:rStyle w:val="PageNumber"/>
        <w:noProof/>
        <w:sz w:val="22"/>
        <w:szCs w:val="22"/>
      </w:rPr>
      <w:t>7</w:t>
    </w:r>
    <w:r w:rsidRPr="00BE52DA">
      <w:rPr>
        <w:rStyle w:val="PageNumber"/>
        <w:sz w:val="22"/>
        <w:szCs w:val="22"/>
      </w:rPr>
      <w:fldChar w:fldCharType="end"/>
    </w:r>
  </w:p>
  <w:p w:rsidR="00E5727A" w:rsidRDefault="00E5727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4E26" w:rsidRDefault="00DB4E26" w:rsidP="00873E82">
      <w:r>
        <w:separator/>
      </w:r>
    </w:p>
  </w:footnote>
  <w:footnote w:type="continuationSeparator" w:id="0">
    <w:p w:rsidR="00DB4E26" w:rsidRDefault="00DB4E26" w:rsidP="00873E82">
      <w:r>
        <w:continuationSeparator/>
      </w:r>
    </w:p>
  </w:footnote>
  <w:footnote w:type="continuationNotice" w:id="1">
    <w:p w:rsidR="00DB4E26" w:rsidRDefault="00DB4E26"/>
  </w:footnote>
  <w:footnote w:id="2">
    <w:p w:rsidR="00E5727A" w:rsidRDefault="00E5727A">
      <w:pPr>
        <w:pStyle w:val="FootnoteText"/>
      </w:pPr>
      <w:r>
        <w:rPr>
          <w:rStyle w:val="FootnoteReference"/>
        </w:rPr>
        <w:footnoteRef/>
      </w:r>
      <w:r>
        <w:t xml:space="preserve"> Property cash flows before debt service are $1, $1.01, $1.02, $1.03, and $22.06 in years 1 thru 5.     </w:t>
      </w:r>
    </w:p>
  </w:footnote>
  <w:footnote w:id="3">
    <w:p w:rsidR="00E5727A" w:rsidRDefault="00E5727A">
      <w:pPr>
        <w:pStyle w:val="FootnoteText"/>
      </w:pPr>
      <w:r>
        <w:rPr>
          <w:rStyle w:val="FootnoteReference"/>
        </w:rPr>
        <w:footnoteRef/>
      </w:r>
      <w:r>
        <w:t xml:space="preserve"> For the $10 loan, before-tax cash flows are $0.70, $0.71, $0.72, $0.73, and $11.76.  The value of the equity position at 10 percent is $9.57.  The asset value is $9.57 plus $10 in debt.  For the $14 loan, before-tax cash flows are $0.58, $0.59, $0.60, $0.61, and $7.64.  The asset is worth $20.63 to the investor, an increase of 5.42 percent.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1BC" w:rsidRDefault="00C261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574F9B"/>
    <w:multiLevelType w:val="hybridMultilevel"/>
    <w:tmpl w:val="794A72D2"/>
    <w:lvl w:ilvl="0" w:tplc="AA8C7192">
      <w:start w:val="1"/>
      <w:numFmt w:val="bullet"/>
      <w:lvlText w:val="-"/>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7AEB5FF6"/>
    <w:multiLevelType w:val="hybridMultilevel"/>
    <w:tmpl w:val="A08C9EBA"/>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 w:id="1"/>
  </w:footnotePr>
  <w:endnotePr>
    <w:endnote w:id="-1"/>
    <w:endnote w:id="0"/>
    <w:endnote w:id="1"/>
  </w:endnotePr>
  <w:compat/>
  <w:rsids>
    <w:rsidRoot w:val="002367F6"/>
    <w:rsid w:val="00001ADB"/>
    <w:rsid w:val="00004A76"/>
    <w:rsid w:val="000157F8"/>
    <w:rsid w:val="000162B7"/>
    <w:rsid w:val="00020387"/>
    <w:rsid w:val="00024412"/>
    <w:rsid w:val="000266B4"/>
    <w:rsid w:val="00036E64"/>
    <w:rsid w:val="000547F5"/>
    <w:rsid w:val="00055FF2"/>
    <w:rsid w:val="00056E75"/>
    <w:rsid w:val="00063CC4"/>
    <w:rsid w:val="00067770"/>
    <w:rsid w:val="000705E9"/>
    <w:rsid w:val="000769A4"/>
    <w:rsid w:val="000772B2"/>
    <w:rsid w:val="000808B1"/>
    <w:rsid w:val="00084762"/>
    <w:rsid w:val="00092531"/>
    <w:rsid w:val="000A1667"/>
    <w:rsid w:val="000A1923"/>
    <w:rsid w:val="000A416B"/>
    <w:rsid w:val="000A4C43"/>
    <w:rsid w:val="000A766A"/>
    <w:rsid w:val="000B0184"/>
    <w:rsid w:val="000B6AFF"/>
    <w:rsid w:val="000B7A95"/>
    <w:rsid w:val="000C43DA"/>
    <w:rsid w:val="000C5DF7"/>
    <w:rsid w:val="000D3C5D"/>
    <w:rsid w:val="000D4BF4"/>
    <w:rsid w:val="000E19B9"/>
    <w:rsid w:val="000E4452"/>
    <w:rsid w:val="000E55A0"/>
    <w:rsid w:val="000E72B1"/>
    <w:rsid w:val="000F0D53"/>
    <w:rsid w:val="001079B2"/>
    <w:rsid w:val="00110C12"/>
    <w:rsid w:val="0011276C"/>
    <w:rsid w:val="00120B16"/>
    <w:rsid w:val="00121282"/>
    <w:rsid w:val="00123059"/>
    <w:rsid w:val="00127DA3"/>
    <w:rsid w:val="00131E16"/>
    <w:rsid w:val="00136358"/>
    <w:rsid w:val="00145FC2"/>
    <w:rsid w:val="001460F7"/>
    <w:rsid w:val="00146E18"/>
    <w:rsid w:val="00147212"/>
    <w:rsid w:val="00154317"/>
    <w:rsid w:val="00157EC7"/>
    <w:rsid w:val="001663A8"/>
    <w:rsid w:val="0016717F"/>
    <w:rsid w:val="00176F57"/>
    <w:rsid w:val="00182BDA"/>
    <w:rsid w:val="00187446"/>
    <w:rsid w:val="00187C1B"/>
    <w:rsid w:val="001A32EE"/>
    <w:rsid w:val="001A6BFE"/>
    <w:rsid w:val="001B03FE"/>
    <w:rsid w:val="001B0CC6"/>
    <w:rsid w:val="001B459C"/>
    <w:rsid w:val="001B687A"/>
    <w:rsid w:val="001B7315"/>
    <w:rsid w:val="001C1B5A"/>
    <w:rsid w:val="001C7276"/>
    <w:rsid w:val="001F1744"/>
    <w:rsid w:val="001F6105"/>
    <w:rsid w:val="001F61F1"/>
    <w:rsid w:val="00204C88"/>
    <w:rsid w:val="002115BB"/>
    <w:rsid w:val="00230623"/>
    <w:rsid w:val="00230B7A"/>
    <w:rsid w:val="00231242"/>
    <w:rsid w:val="00232595"/>
    <w:rsid w:val="002367F6"/>
    <w:rsid w:val="0025060A"/>
    <w:rsid w:val="00260315"/>
    <w:rsid w:val="00262566"/>
    <w:rsid w:val="00270DED"/>
    <w:rsid w:val="0027666C"/>
    <w:rsid w:val="00276CAF"/>
    <w:rsid w:val="0027732F"/>
    <w:rsid w:val="002809DA"/>
    <w:rsid w:val="00285B25"/>
    <w:rsid w:val="00286655"/>
    <w:rsid w:val="002A4AA1"/>
    <w:rsid w:val="002B316A"/>
    <w:rsid w:val="002B5ABC"/>
    <w:rsid w:val="002C3FC9"/>
    <w:rsid w:val="002D0A3A"/>
    <w:rsid w:val="002D0C15"/>
    <w:rsid w:val="002D357D"/>
    <w:rsid w:val="002E5178"/>
    <w:rsid w:val="002F2141"/>
    <w:rsid w:val="00313EFC"/>
    <w:rsid w:val="003147DF"/>
    <w:rsid w:val="00322935"/>
    <w:rsid w:val="00330A0E"/>
    <w:rsid w:val="00345D57"/>
    <w:rsid w:val="003478E0"/>
    <w:rsid w:val="00351B4C"/>
    <w:rsid w:val="00354E06"/>
    <w:rsid w:val="0036098B"/>
    <w:rsid w:val="00361B94"/>
    <w:rsid w:val="00363BF6"/>
    <w:rsid w:val="00367E13"/>
    <w:rsid w:val="00374E99"/>
    <w:rsid w:val="00376920"/>
    <w:rsid w:val="00381E12"/>
    <w:rsid w:val="0038316E"/>
    <w:rsid w:val="0038429A"/>
    <w:rsid w:val="003B2A07"/>
    <w:rsid w:val="003C0CCC"/>
    <w:rsid w:val="003C67A0"/>
    <w:rsid w:val="003D023C"/>
    <w:rsid w:val="003D2F8B"/>
    <w:rsid w:val="003D4979"/>
    <w:rsid w:val="003E0958"/>
    <w:rsid w:val="003E3694"/>
    <w:rsid w:val="003E5AF5"/>
    <w:rsid w:val="003E79AA"/>
    <w:rsid w:val="003F0119"/>
    <w:rsid w:val="003F1773"/>
    <w:rsid w:val="003F46C8"/>
    <w:rsid w:val="003F5B97"/>
    <w:rsid w:val="003F6ECE"/>
    <w:rsid w:val="00400360"/>
    <w:rsid w:val="00402639"/>
    <w:rsid w:val="00410B8A"/>
    <w:rsid w:val="0041208B"/>
    <w:rsid w:val="00414E17"/>
    <w:rsid w:val="00430702"/>
    <w:rsid w:val="004307F7"/>
    <w:rsid w:val="0043631F"/>
    <w:rsid w:val="004365E1"/>
    <w:rsid w:val="00437F70"/>
    <w:rsid w:val="004527B3"/>
    <w:rsid w:val="004527CE"/>
    <w:rsid w:val="00454E83"/>
    <w:rsid w:val="00456B6E"/>
    <w:rsid w:val="00456F32"/>
    <w:rsid w:val="00462A70"/>
    <w:rsid w:val="004740B8"/>
    <w:rsid w:val="004748B3"/>
    <w:rsid w:val="0048014D"/>
    <w:rsid w:val="00481EDC"/>
    <w:rsid w:val="00482512"/>
    <w:rsid w:val="00483854"/>
    <w:rsid w:val="00484695"/>
    <w:rsid w:val="0048697F"/>
    <w:rsid w:val="00487821"/>
    <w:rsid w:val="004A3782"/>
    <w:rsid w:val="004B0C9B"/>
    <w:rsid w:val="004B1E7E"/>
    <w:rsid w:val="004B342A"/>
    <w:rsid w:val="004B59CC"/>
    <w:rsid w:val="004B7D8F"/>
    <w:rsid w:val="004B7DB9"/>
    <w:rsid w:val="004C0080"/>
    <w:rsid w:val="004C2B89"/>
    <w:rsid w:val="004C60B0"/>
    <w:rsid w:val="004D21B4"/>
    <w:rsid w:val="004D4BB8"/>
    <w:rsid w:val="004D68CA"/>
    <w:rsid w:val="004E37F5"/>
    <w:rsid w:val="004E40D4"/>
    <w:rsid w:val="004E70B0"/>
    <w:rsid w:val="004E7DF9"/>
    <w:rsid w:val="00504C5C"/>
    <w:rsid w:val="005062E9"/>
    <w:rsid w:val="00515502"/>
    <w:rsid w:val="005156CB"/>
    <w:rsid w:val="00520C38"/>
    <w:rsid w:val="00532660"/>
    <w:rsid w:val="00537541"/>
    <w:rsid w:val="00540971"/>
    <w:rsid w:val="00544587"/>
    <w:rsid w:val="0054598D"/>
    <w:rsid w:val="00552518"/>
    <w:rsid w:val="00557C56"/>
    <w:rsid w:val="0056559A"/>
    <w:rsid w:val="00581AEA"/>
    <w:rsid w:val="005872F3"/>
    <w:rsid w:val="005926F0"/>
    <w:rsid w:val="0059327A"/>
    <w:rsid w:val="00594C70"/>
    <w:rsid w:val="00596934"/>
    <w:rsid w:val="005A11EE"/>
    <w:rsid w:val="005A5BF9"/>
    <w:rsid w:val="005B12FA"/>
    <w:rsid w:val="005B489A"/>
    <w:rsid w:val="005B5D62"/>
    <w:rsid w:val="005C1BB9"/>
    <w:rsid w:val="005C253A"/>
    <w:rsid w:val="005C5FE6"/>
    <w:rsid w:val="005D0655"/>
    <w:rsid w:val="005D5465"/>
    <w:rsid w:val="005D745F"/>
    <w:rsid w:val="005D78E5"/>
    <w:rsid w:val="005E41EB"/>
    <w:rsid w:val="005E671B"/>
    <w:rsid w:val="005F36B8"/>
    <w:rsid w:val="005F45D4"/>
    <w:rsid w:val="005F572D"/>
    <w:rsid w:val="006076E7"/>
    <w:rsid w:val="00612CCB"/>
    <w:rsid w:val="00617340"/>
    <w:rsid w:val="0062414F"/>
    <w:rsid w:val="00633A3A"/>
    <w:rsid w:val="00644083"/>
    <w:rsid w:val="006458A3"/>
    <w:rsid w:val="0066559B"/>
    <w:rsid w:val="006655F7"/>
    <w:rsid w:val="00666F68"/>
    <w:rsid w:val="0067481C"/>
    <w:rsid w:val="0068079F"/>
    <w:rsid w:val="00681C0B"/>
    <w:rsid w:val="006821D1"/>
    <w:rsid w:val="00693DD2"/>
    <w:rsid w:val="00697C48"/>
    <w:rsid w:val="006C616E"/>
    <w:rsid w:val="006C7560"/>
    <w:rsid w:val="006D0589"/>
    <w:rsid w:val="006D10C1"/>
    <w:rsid w:val="006D3162"/>
    <w:rsid w:val="006D336F"/>
    <w:rsid w:val="006D3AA2"/>
    <w:rsid w:val="006D7303"/>
    <w:rsid w:val="006E15C9"/>
    <w:rsid w:val="006E540F"/>
    <w:rsid w:val="0070191B"/>
    <w:rsid w:val="007029CA"/>
    <w:rsid w:val="007052D1"/>
    <w:rsid w:val="00712E84"/>
    <w:rsid w:val="00717759"/>
    <w:rsid w:val="007200C6"/>
    <w:rsid w:val="00723C6C"/>
    <w:rsid w:val="00724D36"/>
    <w:rsid w:val="00727473"/>
    <w:rsid w:val="00727ACF"/>
    <w:rsid w:val="007306E8"/>
    <w:rsid w:val="007364A0"/>
    <w:rsid w:val="00744520"/>
    <w:rsid w:val="00750593"/>
    <w:rsid w:val="00750EEA"/>
    <w:rsid w:val="00770681"/>
    <w:rsid w:val="007746B2"/>
    <w:rsid w:val="007838E6"/>
    <w:rsid w:val="00784C10"/>
    <w:rsid w:val="00797B0B"/>
    <w:rsid w:val="007A61BB"/>
    <w:rsid w:val="007C1AF6"/>
    <w:rsid w:val="007D383E"/>
    <w:rsid w:val="007D3E86"/>
    <w:rsid w:val="007D7629"/>
    <w:rsid w:val="007F2CA2"/>
    <w:rsid w:val="00812355"/>
    <w:rsid w:val="008264B3"/>
    <w:rsid w:val="00842A4A"/>
    <w:rsid w:val="00845903"/>
    <w:rsid w:val="00851E4D"/>
    <w:rsid w:val="00855D76"/>
    <w:rsid w:val="00867328"/>
    <w:rsid w:val="00873E82"/>
    <w:rsid w:val="008771EF"/>
    <w:rsid w:val="00881A45"/>
    <w:rsid w:val="00881B63"/>
    <w:rsid w:val="00895384"/>
    <w:rsid w:val="008B16D5"/>
    <w:rsid w:val="008B3925"/>
    <w:rsid w:val="008C167A"/>
    <w:rsid w:val="008C4152"/>
    <w:rsid w:val="008D36D4"/>
    <w:rsid w:val="008D7B3D"/>
    <w:rsid w:val="008E082E"/>
    <w:rsid w:val="008E1A73"/>
    <w:rsid w:val="008E5EBE"/>
    <w:rsid w:val="008F386D"/>
    <w:rsid w:val="00900342"/>
    <w:rsid w:val="009153B3"/>
    <w:rsid w:val="00921135"/>
    <w:rsid w:val="00923C48"/>
    <w:rsid w:val="009249DD"/>
    <w:rsid w:val="00926DE0"/>
    <w:rsid w:val="00931C40"/>
    <w:rsid w:val="0093337E"/>
    <w:rsid w:val="00944CF4"/>
    <w:rsid w:val="00950E4A"/>
    <w:rsid w:val="00962FF0"/>
    <w:rsid w:val="009638BE"/>
    <w:rsid w:val="00965E30"/>
    <w:rsid w:val="00966775"/>
    <w:rsid w:val="00966E04"/>
    <w:rsid w:val="00967CE6"/>
    <w:rsid w:val="0097070A"/>
    <w:rsid w:val="00973B25"/>
    <w:rsid w:val="00985351"/>
    <w:rsid w:val="00985E3D"/>
    <w:rsid w:val="0099754E"/>
    <w:rsid w:val="009977C0"/>
    <w:rsid w:val="00997D07"/>
    <w:rsid w:val="009A5D60"/>
    <w:rsid w:val="009B05EC"/>
    <w:rsid w:val="009B23B3"/>
    <w:rsid w:val="009C2030"/>
    <w:rsid w:val="009C60C3"/>
    <w:rsid w:val="009E1F1A"/>
    <w:rsid w:val="009F2DA8"/>
    <w:rsid w:val="009F7607"/>
    <w:rsid w:val="00A07FBC"/>
    <w:rsid w:val="00A1621A"/>
    <w:rsid w:val="00A17102"/>
    <w:rsid w:val="00A2347D"/>
    <w:rsid w:val="00A261A7"/>
    <w:rsid w:val="00A3062E"/>
    <w:rsid w:val="00A31638"/>
    <w:rsid w:val="00A40B28"/>
    <w:rsid w:val="00A40C76"/>
    <w:rsid w:val="00A428C9"/>
    <w:rsid w:val="00A466C4"/>
    <w:rsid w:val="00A55C84"/>
    <w:rsid w:val="00A55C9C"/>
    <w:rsid w:val="00A702F1"/>
    <w:rsid w:val="00A756E5"/>
    <w:rsid w:val="00A8014F"/>
    <w:rsid w:val="00A815F7"/>
    <w:rsid w:val="00A83EC1"/>
    <w:rsid w:val="00A8702D"/>
    <w:rsid w:val="00A9045F"/>
    <w:rsid w:val="00A90937"/>
    <w:rsid w:val="00A9295B"/>
    <w:rsid w:val="00A95EB5"/>
    <w:rsid w:val="00AA11E1"/>
    <w:rsid w:val="00AB3472"/>
    <w:rsid w:val="00AB74C6"/>
    <w:rsid w:val="00AB74D3"/>
    <w:rsid w:val="00AC0787"/>
    <w:rsid w:val="00AC1C78"/>
    <w:rsid w:val="00AC635F"/>
    <w:rsid w:val="00AD1CE1"/>
    <w:rsid w:val="00AD7647"/>
    <w:rsid w:val="00AE1E67"/>
    <w:rsid w:val="00AE7476"/>
    <w:rsid w:val="00AF4C97"/>
    <w:rsid w:val="00AF61E2"/>
    <w:rsid w:val="00B040AC"/>
    <w:rsid w:val="00B052F4"/>
    <w:rsid w:val="00B07DA4"/>
    <w:rsid w:val="00B156A4"/>
    <w:rsid w:val="00B161D6"/>
    <w:rsid w:val="00B16277"/>
    <w:rsid w:val="00B21C7C"/>
    <w:rsid w:val="00B35D43"/>
    <w:rsid w:val="00B36E8B"/>
    <w:rsid w:val="00B410FA"/>
    <w:rsid w:val="00B476BE"/>
    <w:rsid w:val="00B50F5C"/>
    <w:rsid w:val="00B537C1"/>
    <w:rsid w:val="00B66170"/>
    <w:rsid w:val="00B74139"/>
    <w:rsid w:val="00B82A6B"/>
    <w:rsid w:val="00B8374F"/>
    <w:rsid w:val="00B87AD1"/>
    <w:rsid w:val="00B91619"/>
    <w:rsid w:val="00BA701D"/>
    <w:rsid w:val="00BB4F36"/>
    <w:rsid w:val="00BB5F7F"/>
    <w:rsid w:val="00BB6B06"/>
    <w:rsid w:val="00BC2C4F"/>
    <w:rsid w:val="00BD253F"/>
    <w:rsid w:val="00BD67DF"/>
    <w:rsid w:val="00BE52DA"/>
    <w:rsid w:val="00BE78A5"/>
    <w:rsid w:val="00BF3A1B"/>
    <w:rsid w:val="00BF41D2"/>
    <w:rsid w:val="00C109D9"/>
    <w:rsid w:val="00C13B0B"/>
    <w:rsid w:val="00C20839"/>
    <w:rsid w:val="00C20F9E"/>
    <w:rsid w:val="00C219C8"/>
    <w:rsid w:val="00C261BC"/>
    <w:rsid w:val="00C27032"/>
    <w:rsid w:val="00C27B6C"/>
    <w:rsid w:val="00C27EDA"/>
    <w:rsid w:val="00C37C43"/>
    <w:rsid w:val="00C41CE6"/>
    <w:rsid w:val="00C47FBB"/>
    <w:rsid w:val="00C5198A"/>
    <w:rsid w:val="00C51EF0"/>
    <w:rsid w:val="00C57868"/>
    <w:rsid w:val="00C63AE7"/>
    <w:rsid w:val="00C65F86"/>
    <w:rsid w:val="00C70FEB"/>
    <w:rsid w:val="00C719AD"/>
    <w:rsid w:val="00C77B1D"/>
    <w:rsid w:val="00C86709"/>
    <w:rsid w:val="00C902DA"/>
    <w:rsid w:val="00C909A1"/>
    <w:rsid w:val="00C952FD"/>
    <w:rsid w:val="00CA480A"/>
    <w:rsid w:val="00CB05E8"/>
    <w:rsid w:val="00CB3AAA"/>
    <w:rsid w:val="00CB5AB2"/>
    <w:rsid w:val="00CB6324"/>
    <w:rsid w:val="00CB682F"/>
    <w:rsid w:val="00CC0F31"/>
    <w:rsid w:val="00CC5E62"/>
    <w:rsid w:val="00CD3E46"/>
    <w:rsid w:val="00CD583C"/>
    <w:rsid w:val="00CE1F1C"/>
    <w:rsid w:val="00CE2FE7"/>
    <w:rsid w:val="00CE7C0A"/>
    <w:rsid w:val="00CF1077"/>
    <w:rsid w:val="00CF1EBD"/>
    <w:rsid w:val="00CF3354"/>
    <w:rsid w:val="00CF499F"/>
    <w:rsid w:val="00CF5D7B"/>
    <w:rsid w:val="00D008AF"/>
    <w:rsid w:val="00D03469"/>
    <w:rsid w:val="00D10962"/>
    <w:rsid w:val="00D26B5E"/>
    <w:rsid w:val="00D36AEC"/>
    <w:rsid w:val="00D370C8"/>
    <w:rsid w:val="00D4386A"/>
    <w:rsid w:val="00D5225E"/>
    <w:rsid w:val="00D600D2"/>
    <w:rsid w:val="00D607CE"/>
    <w:rsid w:val="00D70B90"/>
    <w:rsid w:val="00D724E1"/>
    <w:rsid w:val="00D72A07"/>
    <w:rsid w:val="00D75180"/>
    <w:rsid w:val="00D811B3"/>
    <w:rsid w:val="00D86379"/>
    <w:rsid w:val="00D86E40"/>
    <w:rsid w:val="00DA53A1"/>
    <w:rsid w:val="00DA72C0"/>
    <w:rsid w:val="00DB4E26"/>
    <w:rsid w:val="00DB4ECA"/>
    <w:rsid w:val="00DB6CA3"/>
    <w:rsid w:val="00DC0D5A"/>
    <w:rsid w:val="00DD688C"/>
    <w:rsid w:val="00DE297C"/>
    <w:rsid w:val="00DE5419"/>
    <w:rsid w:val="00DE71AC"/>
    <w:rsid w:val="00DF2E60"/>
    <w:rsid w:val="00DF7D9A"/>
    <w:rsid w:val="00E02776"/>
    <w:rsid w:val="00E04C9C"/>
    <w:rsid w:val="00E07094"/>
    <w:rsid w:val="00E12868"/>
    <w:rsid w:val="00E353E6"/>
    <w:rsid w:val="00E41993"/>
    <w:rsid w:val="00E47489"/>
    <w:rsid w:val="00E47AD5"/>
    <w:rsid w:val="00E47D10"/>
    <w:rsid w:val="00E506FD"/>
    <w:rsid w:val="00E52194"/>
    <w:rsid w:val="00E52C17"/>
    <w:rsid w:val="00E54A22"/>
    <w:rsid w:val="00E56B74"/>
    <w:rsid w:val="00E5727A"/>
    <w:rsid w:val="00E761B7"/>
    <w:rsid w:val="00E8434E"/>
    <w:rsid w:val="00E873BA"/>
    <w:rsid w:val="00E90CFE"/>
    <w:rsid w:val="00EA3861"/>
    <w:rsid w:val="00EA4276"/>
    <w:rsid w:val="00EA475C"/>
    <w:rsid w:val="00EB538C"/>
    <w:rsid w:val="00EB5824"/>
    <w:rsid w:val="00EB6CC7"/>
    <w:rsid w:val="00EC4C1C"/>
    <w:rsid w:val="00ED106B"/>
    <w:rsid w:val="00ED1563"/>
    <w:rsid w:val="00ED183A"/>
    <w:rsid w:val="00ED5D1B"/>
    <w:rsid w:val="00ED63B0"/>
    <w:rsid w:val="00EE4D59"/>
    <w:rsid w:val="00EF22B3"/>
    <w:rsid w:val="00EF50DD"/>
    <w:rsid w:val="00EF70BE"/>
    <w:rsid w:val="00F044F4"/>
    <w:rsid w:val="00F066B6"/>
    <w:rsid w:val="00F07F04"/>
    <w:rsid w:val="00F13625"/>
    <w:rsid w:val="00F151A4"/>
    <w:rsid w:val="00F2063E"/>
    <w:rsid w:val="00F2342B"/>
    <w:rsid w:val="00F244ED"/>
    <w:rsid w:val="00F24D6F"/>
    <w:rsid w:val="00F27578"/>
    <w:rsid w:val="00F303DF"/>
    <w:rsid w:val="00F30561"/>
    <w:rsid w:val="00F36166"/>
    <w:rsid w:val="00F36E41"/>
    <w:rsid w:val="00F43904"/>
    <w:rsid w:val="00F46AC8"/>
    <w:rsid w:val="00F47268"/>
    <w:rsid w:val="00F51478"/>
    <w:rsid w:val="00F52969"/>
    <w:rsid w:val="00F55425"/>
    <w:rsid w:val="00F619B7"/>
    <w:rsid w:val="00F806C2"/>
    <w:rsid w:val="00F85A66"/>
    <w:rsid w:val="00F8787A"/>
    <w:rsid w:val="00F96BDE"/>
    <w:rsid w:val="00FA280B"/>
    <w:rsid w:val="00FC59F9"/>
    <w:rsid w:val="00FC7154"/>
    <w:rsid w:val="00FC78C4"/>
    <w:rsid w:val="00FD1547"/>
    <w:rsid w:val="00FD4232"/>
    <w:rsid w:val="00FD4FFF"/>
    <w:rsid w:val="00FD516E"/>
    <w:rsid w:val="00FD6531"/>
    <w:rsid w:val="00FE579D"/>
    <w:rsid w:val="00FE7DAE"/>
    <w:rsid w:val="00FF5F8C"/>
    <w:rsid w:val="00FF7B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7F6"/>
    <w:pPr>
      <w:overflowPunct w:val="0"/>
      <w:autoSpaceDE w:val="0"/>
      <w:autoSpaceDN w:val="0"/>
      <w:adjustRightInd w:val="0"/>
      <w:spacing w:after="0" w:line="240" w:lineRule="auto"/>
      <w:textAlignment w:val="baseline"/>
    </w:pPr>
    <w:rPr>
      <w:rFonts w:eastAsia="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2367F6"/>
    <w:pPr>
      <w:ind w:left="1872" w:hanging="432"/>
    </w:pPr>
  </w:style>
  <w:style w:type="character" w:customStyle="1" w:styleId="BodyTextIndentChar">
    <w:name w:val="Body Text Indent Char"/>
    <w:basedOn w:val="DefaultParagraphFont"/>
    <w:link w:val="BodyTextIndent"/>
    <w:rsid w:val="002367F6"/>
    <w:rPr>
      <w:rFonts w:eastAsia="Times New Roman"/>
      <w:sz w:val="20"/>
      <w:szCs w:val="20"/>
    </w:rPr>
  </w:style>
  <w:style w:type="paragraph" w:styleId="Footer">
    <w:name w:val="footer"/>
    <w:basedOn w:val="Normal"/>
    <w:link w:val="FooterChar"/>
    <w:rsid w:val="002367F6"/>
    <w:pPr>
      <w:tabs>
        <w:tab w:val="center" w:pos="4320"/>
        <w:tab w:val="right" w:pos="8640"/>
      </w:tabs>
    </w:pPr>
  </w:style>
  <w:style w:type="character" w:customStyle="1" w:styleId="FooterChar">
    <w:name w:val="Footer Char"/>
    <w:basedOn w:val="DefaultParagraphFont"/>
    <w:link w:val="Footer"/>
    <w:rsid w:val="002367F6"/>
    <w:rPr>
      <w:rFonts w:eastAsia="Times New Roman"/>
      <w:sz w:val="20"/>
      <w:szCs w:val="20"/>
    </w:rPr>
  </w:style>
  <w:style w:type="character" w:styleId="PageNumber">
    <w:name w:val="page number"/>
    <w:basedOn w:val="DefaultParagraphFont"/>
    <w:rsid w:val="002367F6"/>
  </w:style>
  <w:style w:type="paragraph" w:styleId="FootnoteText">
    <w:name w:val="footnote text"/>
    <w:basedOn w:val="Normal"/>
    <w:link w:val="FootnoteTextChar"/>
    <w:uiPriority w:val="99"/>
    <w:semiHidden/>
    <w:unhideWhenUsed/>
    <w:rsid w:val="0011276C"/>
  </w:style>
  <w:style w:type="character" w:customStyle="1" w:styleId="FootnoteTextChar">
    <w:name w:val="Footnote Text Char"/>
    <w:basedOn w:val="DefaultParagraphFont"/>
    <w:link w:val="FootnoteText"/>
    <w:uiPriority w:val="99"/>
    <w:semiHidden/>
    <w:rsid w:val="0011276C"/>
    <w:rPr>
      <w:rFonts w:eastAsia="Times New Roman"/>
      <w:sz w:val="20"/>
      <w:szCs w:val="20"/>
    </w:rPr>
  </w:style>
  <w:style w:type="character" w:styleId="FootnoteReference">
    <w:name w:val="footnote reference"/>
    <w:basedOn w:val="DefaultParagraphFont"/>
    <w:uiPriority w:val="99"/>
    <w:semiHidden/>
    <w:unhideWhenUsed/>
    <w:rsid w:val="0011276C"/>
    <w:rPr>
      <w:vertAlign w:val="superscript"/>
    </w:rPr>
  </w:style>
  <w:style w:type="paragraph" w:styleId="ListParagraph">
    <w:name w:val="List Paragraph"/>
    <w:basedOn w:val="Normal"/>
    <w:uiPriority w:val="34"/>
    <w:qFormat/>
    <w:rsid w:val="005A5BF9"/>
    <w:pPr>
      <w:ind w:left="720"/>
      <w:contextualSpacing/>
    </w:pPr>
  </w:style>
  <w:style w:type="character" w:styleId="Hyperlink">
    <w:name w:val="Hyperlink"/>
    <w:basedOn w:val="DefaultParagraphFont"/>
    <w:uiPriority w:val="99"/>
    <w:unhideWhenUsed/>
    <w:rsid w:val="00462A70"/>
    <w:rPr>
      <w:color w:val="0000FF" w:themeColor="hyperlink"/>
      <w:u w:val="single"/>
    </w:rPr>
  </w:style>
  <w:style w:type="character" w:styleId="PlaceholderText">
    <w:name w:val="Placeholder Text"/>
    <w:basedOn w:val="DefaultParagraphFont"/>
    <w:uiPriority w:val="99"/>
    <w:semiHidden/>
    <w:rsid w:val="00123059"/>
    <w:rPr>
      <w:color w:val="808080"/>
    </w:rPr>
  </w:style>
  <w:style w:type="paragraph" w:styleId="BalloonText">
    <w:name w:val="Balloon Text"/>
    <w:basedOn w:val="Normal"/>
    <w:link w:val="BalloonTextChar"/>
    <w:uiPriority w:val="99"/>
    <w:semiHidden/>
    <w:unhideWhenUsed/>
    <w:rsid w:val="00123059"/>
    <w:rPr>
      <w:rFonts w:ascii="Tahoma" w:hAnsi="Tahoma" w:cs="Tahoma"/>
      <w:sz w:val="16"/>
      <w:szCs w:val="16"/>
    </w:rPr>
  </w:style>
  <w:style w:type="character" w:customStyle="1" w:styleId="BalloonTextChar">
    <w:name w:val="Balloon Text Char"/>
    <w:basedOn w:val="DefaultParagraphFont"/>
    <w:link w:val="BalloonText"/>
    <w:uiPriority w:val="99"/>
    <w:semiHidden/>
    <w:rsid w:val="00123059"/>
    <w:rPr>
      <w:rFonts w:ascii="Tahoma" w:eastAsia="Times New Roman" w:hAnsi="Tahoma" w:cs="Tahoma"/>
      <w:sz w:val="16"/>
      <w:szCs w:val="16"/>
    </w:rPr>
  </w:style>
  <w:style w:type="paragraph" w:styleId="Header">
    <w:name w:val="header"/>
    <w:basedOn w:val="Normal"/>
    <w:link w:val="HeaderChar"/>
    <w:uiPriority w:val="99"/>
    <w:unhideWhenUsed/>
    <w:rsid w:val="00BE52DA"/>
    <w:pPr>
      <w:tabs>
        <w:tab w:val="center" w:pos="4680"/>
        <w:tab w:val="right" w:pos="9360"/>
      </w:tabs>
    </w:pPr>
  </w:style>
  <w:style w:type="character" w:customStyle="1" w:styleId="HeaderChar">
    <w:name w:val="Header Char"/>
    <w:basedOn w:val="DefaultParagraphFont"/>
    <w:link w:val="Header"/>
    <w:uiPriority w:val="99"/>
    <w:rsid w:val="00BE52DA"/>
    <w:rPr>
      <w:rFonts w:eastAsia="Times New Roman"/>
      <w:sz w:val="20"/>
      <w:szCs w:val="20"/>
    </w:rPr>
  </w:style>
  <w:style w:type="table" w:styleId="LightList-Accent1">
    <w:name w:val="Light List Accent 1"/>
    <w:basedOn w:val="TableNormal"/>
    <w:uiPriority w:val="61"/>
    <w:rsid w:val="00F36166"/>
    <w:pPr>
      <w:spacing w:after="0" w:line="240" w:lineRule="auto"/>
    </w:pPr>
    <w:rPr>
      <w:rFonts w:asciiTheme="minorHAnsi" w:hAnsiTheme="minorHAnsi" w:cstheme="minorBid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mmentReference">
    <w:name w:val="annotation reference"/>
    <w:basedOn w:val="DefaultParagraphFont"/>
    <w:uiPriority w:val="99"/>
    <w:semiHidden/>
    <w:unhideWhenUsed/>
    <w:rsid w:val="00CB05E8"/>
    <w:rPr>
      <w:sz w:val="16"/>
      <w:szCs w:val="16"/>
    </w:rPr>
  </w:style>
  <w:style w:type="paragraph" w:styleId="CommentText">
    <w:name w:val="annotation text"/>
    <w:basedOn w:val="Normal"/>
    <w:link w:val="CommentTextChar"/>
    <w:uiPriority w:val="99"/>
    <w:semiHidden/>
    <w:unhideWhenUsed/>
    <w:rsid w:val="00CB05E8"/>
  </w:style>
  <w:style w:type="character" w:customStyle="1" w:styleId="CommentTextChar">
    <w:name w:val="Comment Text Char"/>
    <w:basedOn w:val="DefaultParagraphFont"/>
    <w:link w:val="CommentText"/>
    <w:uiPriority w:val="99"/>
    <w:semiHidden/>
    <w:rsid w:val="00CB05E8"/>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CB05E8"/>
    <w:rPr>
      <w:b/>
      <w:bCs/>
    </w:rPr>
  </w:style>
  <w:style w:type="character" w:customStyle="1" w:styleId="CommentSubjectChar">
    <w:name w:val="Comment Subject Char"/>
    <w:basedOn w:val="CommentTextChar"/>
    <w:link w:val="CommentSubject"/>
    <w:uiPriority w:val="99"/>
    <w:semiHidden/>
    <w:rsid w:val="00CB05E8"/>
    <w:rPr>
      <w:rFonts w:eastAsia="Times New Roman"/>
      <w:b/>
      <w:bCs/>
      <w:sz w:val="20"/>
      <w:szCs w:val="20"/>
    </w:rPr>
  </w:style>
  <w:style w:type="paragraph" w:styleId="Revision">
    <w:name w:val="Revision"/>
    <w:hidden/>
    <w:uiPriority w:val="99"/>
    <w:semiHidden/>
    <w:rsid w:val="00CB05E8"/>
    <w:pPr>
      <w:spacing w:after="0" w:line="240" w:lineRule="auto"/>
    </w:pPr>
    <w:rPr>
      <w:rFonts w:eastAsia="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7F6"/>
    <w:pPr>
      <w:overflowPunct w:val="0"/>
      <w:autoSpaceDE w:val="0"/>
      <w:autoSpaceDN w:val="0"/>
      <w:adjustRightInd w:val="0"/>
      <w:spacing w:after="0" w:line="240" w:lineRule="auto"/>
      <w:textAlignment w:val="baseline"/>
    </w:pPr>
    <w:rPr>
      <w:rFonts w:eastAsia="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2367F6"/>
    <w:pPr>
      <w:ind w:left="1872" w:hanging="432"/>
    </w:pPr>
  </w:style>
  <w:style w:type="character" w:customStyle="1" w:styleId="BodyTextIndentChar">
    <w:name w:val="Body Text Indent Char"/>
    <w:basedOn w:val="DefaultParagraphFont"/>
    <w:link w:val="BodyTextIndent"/>
    <w:rsid w:val="002367F6"/>
    <w:rPr>
      <w:rFonts w:eastAsia="Times New Roman"/>
      <w:sz w:val="20"/>
      <w:szCs w:val="20"/>
    </w:rPr>
  </w:style>
  <w:style w:type="paragraph" w:styleId="Footer">
    <w:name w:val="footer"/>
    <w:basedOn w:val="Normal"/>
    <w:link w:val="FooterChar"/>
    <w:rsid w:val="002367F6"/>
    <w:pPr>
      <w:tabs>
        <w:tab w:val="center" w:pos="4320"/>
        <w:tab w:val="right" w:pos="8640"/>
      </w:tabs>
    </w:pPr>
  </w:style>
  <w:style w:type="character" w:customStyle="1" w:styleId="FooterChar">
    <w:name w:val="Footer Char"/>
    <w:basedOn w:val="DefaultParagraphFont"/>
    <w:link w:val="Footer"/>
    <w:rsid w:val="002367F6"/>
    <w:rPr>
      <w:rFonts w:eastAsia="Times New Roman"/>
      <w:sz w:val="20"/>
      <w:szCs w:val="20"/>
    </w:rPr>
  </w:style>
  <w:style w:type="character" w:styleId="PageNumber">
    <w:name w:val="page number"/>
    <w:basedOn w:val="DefaultParagraphFont"/>
    <w:rsid w:val="002367F6"/>
  </w:style>
  <w:style w:type="paragraph" w:styleId="FootnoteText">
    <w:name w:val="footnote text"/>
    <w:basedOn w:val="Normal"/>
    <w:link w:val="FootnoteTextChar"/>
    <w:uiPriority w:val="99"/>
    <w:semiHidden/>
    <w:unhideWhenUsed/>
    <w:rsid w:val="0011276C"/>
  </w:style>
  <w:style w:type="character" w:customStyle="1" w:styleId="FootnoteTextChar">
    <w:name w:val="Footnote Text Char"/>
    <w:basedOn w:val="DefaultParagraphFont"/>
    <w:link w:val="FootnoteText"/>
    <w:uiPriority w:val="99"/>
    <w:semiHidden/>
    <w:rsid w:val="0011276C"/>
    <w:rPr>
      <w:rFonts w:eastAsia="Times New Roman"/>
      <w:sz w:val="20"/>
      <w:szCs w:val="20"/>
    </w:rPr>
  </w:style>
  <w:style w:type="character" w:styleId="FootnoteReference">
    <w:name w:val="footnote reference"/>
    <w:basedOn w:val="DefaultParagraphFont"/>
    <w:uiPriority w:val="99"/>
    <w:semiHidden/>
    <w:unhideWhenUsed/>
    <w:rsid w:val="0011276C"/>
    <w:rPr>
      <w:vertAlign w:val="superscript"/>
    </w:rPr>
  </w:style>
  <w:style w:type="paragraph" w:styleId="ListParagraph">
    <w:name w:val="List Paragraph"/>
    <w:basedOn w:val="Normal"/>
    <w:uiPriority w:val="34"/>
    <w:qFormat/>
    <w:rsid w:val="005A5BF9"/>
    <w:pPr>
      <w:ind w:left="720"/>
      <w:contextualSpacing/>
    </w:pPr>
  </w:style>
  <w:style w:type="character" w:styleId="Hyperlink">
    <w:name w:val="Hyperlink"/>
    <w:basedOn w:val="DefaultParagraphFont"/>
    <w:uiPriority w:val="99"/>
    <w:unhideWhenUsed/>
    <w:rsid w:val="00462A70"/>
    <w:rPr>
      <w:color w:val="0000FF" w:themeColor="hyperlink"/>
      <w:u w:val="single"/>
    </w:rPr>
  </w:style>
  <w:style w:type="character" w:styleId="PlaceholderText">
    <w:name w:val="Placeholder Text"/>
    <w:basedOn w:val="DefaultParagraphFont"/>
    <w:uiPriority w:val="99"/>
    <w:semiHidden/>
    <w:rsid w:val="00123059"/>
    <w:rPr>
      <w:color w:val="808080"/>
    </w:rPr>
  </w:style>
  <w:style w:type="paragraph" w:styleId="BalloonText">
    <w:name w:val="Balloon Text"/>
    <w:basedOn w:val="Normal"/>
    <w:link w:val="BalloonTextChar"/>
    <w:uiPriority w:val="99"/>
    <w:semiHidden/>
    <w:unhideWhenUsed/>
    <w:rsid w:val="00123059"/>
    <w:rPr>
      <w:rFonts w:ascii="Tahoma" w:hAnsi="Tahoma" w:cs="Tahoma"/>
      <w:sz w:val="16"/>
      <w:szCs w:val="16"/>
    </w:rPr>
  </w:style>
  <w:style w:type="character" w:customStyle="1" w:styleId="BalloonTextChar">
    <w:name w:val="Balloon Text Char"/>
    <w:basedOn w:val="DefaultParagraphFont"/>
    <w:link w:val="BalloonText"/>
    <w:uiPriority w:val="99"/>
    <w:semiHidden/>
    <w:rsid w:val="00123059"/>
    <w:rPr>
      <w:rFonts w:ascii="Tahoma" w:eastAsia="Times New Roman" w:hAnsi="Tahoma" w:cs="Tahoma"/>
      <w:sz w:val="16"/>
      <w:szCs w:val="16"/>
    </w:rPr>
  </w:style>
  <w:style w:type="paragraph" w:styleId="Header">
    <w:name w:val="header"/>
    <w:basedOn w:val="Normal"/>
    <w:link w:val="HeaderChar"/>
    <w:uiPriority w:val="99"/>
    <w:unhideWhenUsed/>
    <w:rsid w:val="00BE52DA"/>
    <w:pPr>
      <w:tabs>
        <w:tab w:val="center" w:pos="4680"/>
        <w:tab w:val="right" w:pos="9360"/>
      </w:tabs>
    </w:pPr>
  </w:style>
  <w:style w:type="character" w:customStyle="1" w:styleId="HeaderChar">
    <w:name w:val="Header Char"/>
    <w:basedOn w:val="DefaultParagraphFont"/>
    <w:link w:val="Header"/>
    <w:uiPriority w:val="99"/>
    <w:rsid w:val="00BE52DA"/>
    <w:rPr>
      <w:rFonts w:eastAsia="Times New Roman"/>
      <w:sz w:val="20"/>
      <w:szCs w:val="20"/>
    </w:rPr>
  </w:style>
  <w:style w:type="table" w:styleId="LightList-Accent1">
    <w:name w:val="Light List Accent 1"/>
    <w:basedOn w:val="TableNormal"/>
    <w:uiPriority w:val="61"/>
    <w:rsid w:val="00F36166"/>
    <w:pPr>
      <w:spacing w:after="0" w:line="240" w:lineRule="auto"/>
    </w:pPr>
    <w:rPr>
      <w:rFonts w:asciiTheme="minorHAnsi" w:hAnsiTheme="minorHAnsi" w:cstheme="minorBid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mmentReference">
    <w:name w:val="annotation reference"/>
    <w:basedOn w:val="DefaultParagraphFont"/>
    <w:uiPriority w:val="99"/>
    <w:semiHidden/>
    <w:unhideWhenUsed/>
    <w:rsid w:val="00CB05E8"/>
    <w:rPr>
      <w:sz w:val="16"/>
      <w:szCs w:val="16"/>
    </w:rPr>
  </w:style>
  <w:style w:type="paragraph" w:styleId="CommentText">
    <w:name w:val="annotation text"/>
    <w:basedOn w:val="Normal"/>
    <w:link w:val="CommentTextChar"/>
    <w:uiPriority w:val="99"/>
    <w:semiHidden/>
    <w:unhideWhenUsed/>
    <w:rsid w:val="00CB05E8"/>
  </w:style>
  <w:style w:type="character" w:customStyle="1" w:styleId="CommentTextChar">
    <w:name w:val="Comment Text Char"/>
    <w:basedOn w:val="DefaultParagraphFont"/>
    <w:link w:val="CommentText"/>
    <w:uiPriority w:val="99"/>
    <w:semiHidden/>
    <w:rsid w:val="00CB05E8"/>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CB05E8"/>
    <w:rPr>
      <w:b/>
      <w:bCs/>
    </w:rPr>
  </w:style>
  <w:style w:type="character" w:customStyle="1" w:styleId="CommentSubjectChar">
    <w:name w:val="Comment Subject Char"/>
    <w:basedOn w:val="CommentTextChar"/>
    <w:link w:val="CommentSubject"/>
    <w:uiPriority w:val="99"/>
    <w:semiHidden/>
    <w:rsid w:val="00CB05E8"/>
    <w:rPr>
      <w:rFonts w:eastAsia="Times New Roman"/>
      <w:b/>
      <w:bCs/>
      <w:sz w:val="20"/>
      <w:szCs w:val="20"/>
    </w:rPr>
  </w:style>
  <w:style w:type="paragraph" w:styleId="Revision">
    <w:name w:val="Revision"/>
    <w:hidden/>
    <w:uiPriority w:val="99"/>
    <w:semiHidden/>
    <w:rsid w:val="00CB05E8"/>
    <w:pPr>
      <w:spacing w:after="0" w:line="240" w:lineRule="auto"/>
    </w:pPr>
    <w:rPr>
      <w:rFonts w:eastAsia="Times New Roman"/>
      <w:sz w:val="20"/>
      <w:szCs w:val="20"/>
    </w:rPr>
  </w:style>
</w:styles>
</file>

<file path=word/webSettings.xml><?xml version="1.0" encoding="utf-8"?>
<w:webSettings xmlns:r="http://schemas.openxmlformats.org/officeDocument/2006/relationships" xmlns:w="http://schemas.openxmlformats.org/wordprocessingml/2006/main">
  <w:divs>
    <w:div w:id="53818053">
      <w:bodyDiv w:val="1"/>
      <w:marLeft w:val="0"/>
      <w:marRight w:val="0"/>
      <w:marTop w:val="0"/>
      <w:marBottom w:val="0"/>
      <w:divBdr>
        <w:top w:val="none" w:sz="0" w:space="0" w:color="auto"/>
        <w:left w:val="none" w:sz="0" w:space="0" w:color="auto"/>
        <w:bottom w:val="none" w:sz="0" w:space="0" w:color="auto"/>
        <w:right w:val="none" w:sz="0" w:space="0" w:color="auto"/>
      </w:divBdr>
    </w:div>
    <w:div w:id="74788817">
      <w:bodyDiv w:val="1"/>
      <w:marLeft w:val="0"/>
      <w:marRight w:val="0"/>
      <w:marTop w:val="0"/>
      <w:marBottom w:val="0"/>
      <w:divBdr>
        <w:top w:val="none" w:sz="0" w:space="0" w:color="auto"/>
        <w:left w:val="none" w:sz="0" w:space="0" w:color="auto"/>
        <w:bottom w:val="none" w:sz="0" w:space="0" w:color="auto"/>
        <w:right w:val="none" w:sz="0" w:space="0" w:color="auto"/>
      </w:divBdr>
    </w:div>
    <w:div w:id="476262081">
      <w:bodyDiv w:val="1"/>
      <w:marLeft w:val="0"/>
      <w:marRight w:val="0"/>
      <w:marTop w:val="0"/>
      <w:marBottom w:val="0"/>
      <w:divBdr>
        <w:top w:val="none" w:sz="0" w:space="0" w:color="auto"/>
        <w:left w:val="none" w:sz="0" w:space="0" w:color="auto"/>
        <w:bottom w:val="none" w:sz="0" w:space="0" w:color="auto"/>
        <w:right w:val="none" w:sz="0" w:space="0" w:color="auto"/>
      </w:divBdr>
    </w:div>
    <w:div w:id="487092665">
      <w:bodyDiv w:val="1"/>
      <w:marLeft w:val="0"/>
      <w:marRight w:val="0"/>
      <w:marTop w:val="0"/>
      <w:marBottom w:val="0"/>
      <w:divBdr>
        <w:top w:val="none" w:sz="0" w:space="0" w:color="auto"/>
        <w:left w:val="none" w:sz="0" w:space="0" w:color="auto"/>
        <w:bottom w:val="none" w:sz="0" w:space="0" w:color="auto"/>
        <w:right w:val="none" w:sz="0" w:space="0" w:color="auto"/>
      </w:divBdr>
    </w:div>
    <w:div w:id="493032926">
      <w:bodyDiv w:val="1"/>
      <w:marLeft w:val="0"/>
      <w:marRight w:val="0"/>
      <w:marTop w:val="0"/>
      <w:marBottom w:val="0"/>
      <w:divBdr>
        <w:top w:val="none" w:sz="0" w:space="0" w:color="auto"/>
        <w:left w:val="none" w:sz="0" w:space="0" w:color="auto"/>
        <w:bottom w:val="none" w:sz="0" w:space="0" w:color="auto"/>
        <w:right w:val="none" w:sz="0" w:space="0" w:color="auto"/>
      </w:divBdr>
    </w:div>
    <w:div w:id="538015050">
      <w:bodyDiv w:val="1"/>
      <w:marLeft w:val="0"/>
      <w:marRight w:val="0"/>
      <w:marTop w:val="0"/>
      <w:marBottom w:val="0"/>
      <w:divBdr>
        <w:top w:val="none" w:sz="0" w:space="0" w:color="auto"/>
        <w:left w:val="none" w:sz="0" w:space="0" w:color="auto"/>
        <w:bottom w:val="none" w:sz="0" w:space="0" w:color="auto"/>
        <w:right w:val="none" w:sz="0" w:space="0" w:color="auto"/>
      </w:divBdr>
    </w:div>
    <w:div w:id="756024305">
      <w:bodyDiv w:val="1"/>
      <w:marLeft w:val="0"/>
      <w:marRight w:val="0"/>
      <w:marTop w:val="0"/>
      <w:marBottom w:val="0"/>
      <w:divBdr>
        <w:top w:val="none" w:sz="0" w:space="0" w:color="auto"/>
        <w:left w:val="none" w:sz="0" w:space="0" w:color="auto"/>
        <w:bottom w:val="none" w:sz="0" w:space="0" w:color="auto"/>
        <w:right w:val="none" w:sz="0" w:space="0" w:color="auto"/>
      </w:divBdr>
    </w:div>
    <w:div w:id="769005921">
      <w:bodyDiv w:val="1"/>
      <w:marLeft w:val="0"/>
      <w:marRight w:val="0"/>
      <w:marTop w:val="0"/>
      <w:marBottom w:val="0"/>
      <w:divBdr>
        <w:top w:val="none" w:sz="0" w:space="0" w:color="auto"/>
        <w:left w:val="none" w:sz="0" w:space="0" w:color="auto"/>
        <w:bottom w:val="none" w:sz="0" w:space="0" w:color="auto"/>
        <w:right w:val="none" w:sz="0" w:space="0" w:color="auto"/>
      </w:divBdr>
    </w:div>
    <w:div w:id="859469953">
      <w:bodyDiv w:val="1"/>
      <w:marLeft w:val="0"/>
      <w:marRight w:val="0"/>
      <w:marTop w:val="0"/>
      <w:marBottom w:val="0"/>
      <w:divBdr>
        <w:top w:val="none" w:sz="0" w:space="0" w:color="auto"/>
        <w:left w:val="none" w:sz="0" w:space="0" w:color="auto"/>
        <w:bottom w:val="none" w:sz="0" w:space="0" w:color="auto"/>
        <w:right w:val="none" w:sz="0" w:space="0" w:color="auto"/>
      </w:divBdr>
    </w:div>
    <w:div w:id="945430245">
      <w:bodyDiv w:val="1"/>
      <w:marLeft w:val="0"/>
      <w:marRight w:val="0"/>
      <w:marTop w:val="0"/>
      <w:marBottom w:val="0"/>
      <w:divBdr>
        <w:top w:val="none" w:sz="0" w:space="0" w:color="auto"/>
        <w:left w:val="none" w:sz="0" w:space="0" w:color="auto"/>
        <w:bottom w:val="none" w:sz="0" w:space="0" w:color="auto"/>
        <w:right w:val="none" w:sz="0" w:space="0" w:color="auto"/>
      </w:divBdr>
    </w:div>
    <w:div w:id="1067150688">
      <w:bodyDiv w:val="1"/>
      <w:marLeft w:val="0"/>
      <w:marRight w:val="0"/>
      <w:marTop w:val="0"/>
      <w:marBottom w:val="0"/>
      <w:divBdr>
        <w:top w:val="none" w:sz="0" w:space="0" w:color="auto"/>
        <w:left w:val="none" w:sz="0" w:space="0" w:color="auto"/>
        <w:bottom w:val="none" w:sz="0" w:space="0" w:color="auto"/>
        <w:right w:val="none" w:sz="0" w:space="0" w:color="auto"/>
      </w:divBdr>
    </w:div>
    <w:div w:id="1210612757">
      <w:bodyDiv w:val="1"/>
      <w:marLeft w:val="0"/>
      <w:marRight w:val="0"/>
      <w:marTop w:val="0"/>
      <w:marBottom w:val="0"/>
      <w:divBdr>
        <w:top w:val="none" w:sz="0" w:space="0" w:color="auto"/>
        <w:left w:val="none" w:sz="0" w:space="0" w:color="auto"/>
        <w:bottom w:val="none" w:sz="0" w:space="0" w:color="auto"/>
        <w:right w:val="none" w:sz="0" w:space="0" w:color="auto"/>
      </w:divBdr>
    </w:div>
    <w:div w:id="1551451820">
      <w:bodyDiv w:val="1"/>
      <w:marLeft w:val="0"/>
      <w:marRight w:val="0"/>
      <w:marTop w:val="0"/>
      <w:marBottom w:val="0"/>
      <w:divBdr>
        <w:top w:val="none" w:sz="0" w:space="0" w:color="auto"/>
        <w:left w:val="none" w:sz="0" w:space="0" w:color="auto"/>
        <w:bottom w:val="none" w:sz="0" w:space="0" w:color="auto"/>
        <w:right w:val="none" w:sz="0" w:space="0" w:color="auto"/>
      </w:divBdr>
    </w:div>
    <w:div w:id="1555039044">
      <w:bodyDiv w:val="1"/>
      <w:marLeft w:val="0"/>
      <w:marRight w:val="0"/>
      <w:marTop w:val="0"/>
      <w:marBottom w:val="0"/>
      <w:divBdr>
        <w:top w:val="none" w:sz="0" w:space="0" w:color="auto"/>
        <w:left w:val="none" w:sz="0" w:space="0" w:color="auto"/>
        <w:bottom w:val="none" w:sz="0" w:space="0" w:color="auto"/>
        <w:right w:val="none" w:sz="0" w:space="0" w:color="auto"/>
      </w:divBdr>
    </w:div>
    <w:div w:id="1599869171">
      <w:bodyDiv w:val="1"/>
      <w:marLeft w:val="0"/>
      <w:marRight w:val="0"/>
      <w:marTop w:val="0"/>
      <w:marBottom w:val="0"/>
      <w:divBdr>
        <w:top w:val="none" w:sz="0" w:space="0" w:color="auto"/>
        <w:left w:val="none" w:sz="0" w:space="0" w:color="auto"/>
        <w:bottom w:val="none" w:sz="0" w:space="0" w:color="auto"/>
        <w:right w:val="none" w:sz="0" w:space="0" w:color="auto"/>
      </w:divBdr>
    </w:div>
    <w:div w:id="1672098162">
      <w:bodyDiv w:val="1"/>
      <w:marLeft w:val="0"/>
      <w:marRight w:val="0"/>
      <w:marTop w:val="0"/>
      <w:marBottom w:val="0"/>
      <w:divBdr>
        <w:top w:val="none" w:sz="0" w:space="0" w:color="auto"/>
        <w:left w:val="none" w:sz="0" w:space="0" w:color="auto"/>
        <w:bottom w:val="none" w:sz="0" w:space="0" w:color="auto"/>
        <w:right w:val="none" w:sz="0" w:space="0" w:color="auto"/>
      </w:divBdr>
    </w:div>
    <w:div w:id="1773865561">
      <w:bodyDiv w:val="1"/>
      <w:marLeft w:val="0"/>
      <w:marRight w:val="0"/>
      <w:marTop w:val="0"/>
      <w:marBottom w:val="0"/>
      <w:divBdr>
        <w:top w:val="none" w:sz="0" w:space="0" w:color="auto"/>
        <w:left w:val="none" w:sz="0" w:space="0" w:color="auto"/>
        <w:bottom w:val="none" w:sz="0" w:space="0" w:color="auto"/>
        <w:right w:val="none" w:sz="0" w:space="0" w:color="auto"/>
      </w:divBdr>
    </w:div>
    <w:div w:id="1996374544">
      <w:bodyDiv w:val="1"/>
      <w:marLeft w:val="0"/>
      <w:marRight w:val="0"/>
      <w:marTop w:val="0"/>
      <w:marBottom w:val="0"/>
      <w:divBdr>
        <w:top w:val="none" w:sz="0" w:space="0" w:color="auto"/>
        <w:left w:val="none" w:sz="0" w:space="0" w:color="auto"/>
        <w:bottom w:val="none" w:sz="0" w:space="0" w:color="auto"/>
        <w:right w:val="none" w:sz="0" w:space="0" w:color="auto"/>
      </w:divBdr>
    </w:div>
    <w:div w:id="2079017595">
      <w:bodyDiv w:val="1"/>
      <w:marLeft w:val="0"/>
      <w:marRight w:val="0"/>
      <w:marTop w:val="0"/>
      <w:marBottom w:val="0"/>
      <w:divBdr>
        <w:top w:val="none" w:sz="0" w:space="0" w:color="auto"/>
        <w:left w:val="none" w:sz="0" w:space="0" w:color="auto"/>
        <w:bottom w:val="none" w:sz="0" w:space="0" w:color="auto"/>
        <w:right w:val="none" w:sz="0" w:space="0" w:color="auto"/>
      </w:divBdr>
    </w:div>
    <w:div w:id="210560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wiley@gsu.edu" TargetMode="External"/><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oleObject" Target="file:///E:\Research\RERI%20grant\NcreifCharts.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Research\RERI%20grant\NcreifCharts.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Research\RERI%20grant\NcreifCharts.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Research\RERI%20grant\NcreifCharts.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Research\RERI%20grant\NcreifCharts.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Research\RERI%20grant\NcreifCharts.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US"/>
  <c:chart>
    <c:autoTitleDeleted val="1"/>
    <c:plotArea>
      <c:layout/>
      <c:barChart>
        <c:barDir val="col"/>
        <c:grouping val="clustered"/>
        <c:ser>
          <c:idx val="1"/>
          <c:order val="2"/>
          <c:tx>
            <c:v>Volume</c:v>
          </c:tx>
          <c:spPr>
            <a:solidFill>
              <a:schemeClr val="tx1"/>
            </a:solidFill>
          </c:spPr>
          <c:cat>
            <c:numRef>
              <c:f>Figures!$A$296:$A$441</c:f>
              <c:numCache>
                <c:formatCode>General</c:formatCode>
                <c:ptCount val="146"/>
                <c:pt idx="0">
                  <c:v>19781</c:v>
                </c:pt>
                <c:pt idx="1">
                  <c:v>19782</c:v>
                </c:pt>
                <c:pt idx="2">
                  <c:v>19783</c:v>
                </c:pt>
                <c:pt idx="3">
                  <c:v>19784</c:v>
                </c:pt>
                <c:pt idx="4">
                  <c:v>19791</c:v>
                </c:pt>
                <c:pt idx="5">
                  <c:v>19792</c:v>
                </c:pt>
                <c:pt idx="6">
                  <c:v>19793</c:v>
                </c:pt>
                <c:pt idx="7">
                  <c:v>19794</c:v>
                </c:pt>
                <c:pt idx="8">
                  <c:v>19801</c:v>
                </c:pt>
                <c:pt idx="9">
                  <c:v>19802</c:v>
                </c:pt>
                <c:pt idx="10">
                  <c:v>19803</c:v>
                </c:pt>
                <c:pt idx="11">
                  <c:v>19804</c:v>
                </c:pt>
                <c:pt idx="12">
                  <c:v>19811</c:v>
                </c:pt>
                <c:pt idx="13">
                  <c:v>19812</c:v>
                </c:pt>
                <c:pt idx="14">
                  <c:v>19813</c:v>
                </c:pt>
                <c:pt idx="15">
                  <c:v>19814</c:v>
                </c:pt>
                <c:pt idx="16">
                  <c:v>19821</c:v>
                </c:pt>
                <c:pt idx="17">
                  <c:v>19822</c:v>
                </c:pt>
                <c:pt idx="18">
                  <c:v>19823</c:v>
                </c:pt>
                <c:pt idx="19">
                  <c:v>19824</c:v>
                </c:pt>
                <c:pt idx="20">
                  <c:v>19831</c:v>
                </c:pt>
                <c:pt idx="21">
                  <c:v>19832</c:v>
                </c:pt>
                <c:pt idx="22">
                  <c:v>19833</c:v>
                </c:pt>
                <c:pt idx="23">
                  <c:v>19834</c:v>
                </c:pt>
                <c:pt idx="24">
                  <c:v>19841</c:v>
                </c:pt>
                <c:pt idx="25">
                  <c:v>19842</c:v>
                </c:pt>
                <c:pt idx="26">
                  <c:v>19843</c:v>
                </c:pt>
                <c:pt idx="27">
                  <c:v>19844</c:v>
                </c:pt>
                <c:pt idx="28">
                  <c:v>19851</c:v>
                </c:pt>
                <c:pt idx="29">
                  <c:v>19852</c:v>
                </c:pt>
                <c:pt idx="30">
                  <c:v>19853</c:v>
                </c:pt>
                <c:pt idx="31">
                  <c:v>19854</c:v>
                </c:pt>
                <c:pt idx="32">
                  <c:v>19861</c:v>
                </c:pt>
                <c:pt idx="33">
                  <c:v>19862</c:v>
                </c:pt>
                <c:pt idx="34">
                  <c:v>19863</c:v>
                </c:pt>
                <c:pt idx="35">
                  <c:v>19864</c:v>
                </c:pt>
                <c:pt idx="36">
                  <c:v>19871</c:v>
                </c:pt>
                <c:pt idx="37">
                  <c:v>19872</c:v>
                </c:pt>
                <c:pt idx="38">
                  <c:v>19873</c:v>
                </c:pt>
                <c:pt idx="39">
                  <c:v>19874</c:v>
                </c:pt>
                <c:pt idx="40">
                  <c:v>19881</c:v>
                </c:pt>
                <c:pt idx="41">
                  <c:v>19882</c:v>
                </c:pt>
                <c:pt idx="42">
                  <c:v>19883</c:v>
                </c:pt>
                <c:pt idx="43">
                  <c:v>19884</c:v>
                </c:pt>
                <c:pt idx="44">
                  <c:v>19891</c:v>
                </c:pt>
                <c:pt idx="45">
                  <c:v>19892</c:v>
                </c:pt>
                <c:pt idx="46">
                  <c:v>19893</c:v>
                </c:pt>
                <c:pt idx="47">
                  <c:v>19894</c:v>
                </c:pt>
                <c:pt idx="48">
                  <c:v>19901</c:v>
                </c:pt>
                <c:pt idx="49">
                  <c:v>19902</c:v>
                </c:pt>
                <c:pt idx="50">
                  <c:v>19903</c:v>
                </c:pt>
                <c:pt idx="51">
                  <c:v>19904</c:v>
                </c:pt>
                <c:pt idx="52">
                  <c:v>19911</c:v>
                </c:pt>
                <c:pt idx="53">
                  <c:v>19912</c:v>
                </c:pt>
                <c:pt idx="54">
                  <c:v>19913</c:v>
                </c:pt>
                <c:pt idx="55">
                  <c:v>19914</c:v>
                </c:pt>
                <c:pt idx="56">
                  <c:v>19921</c:v>
                </c:pt>
                <c:pt idx="57">
                  <c:v>19922</c:v>
                </c:pt>
                <c:pt idx="58">
                  <c:v>19923</c:v>
                </c:pt>
                <c:pt idx="59">
                  <c:v>19924</c:v>
                </c:pt>
                <c:pt idx="60">
                  <c:v>19931</c:v>
                </c:pt>
                <c:pt idx="61">
                  <c:v>19932</c:v>
                </c:pt>
                <c:pt idx="62">
                  <c:v>19933</c:v>
                </c:pt>
                <c:pt idx="63">
                  <c:v>19934</c:v>
                </c:pt>
                <c:pt idx="64">
                  <c:v>19941</c:v>
                </c:pt>
                <c:pt idx="65">
                  <c:v>19942</c:v>
                </c:pt>
                <c:pt idx="66">
                  <c:v>19943</c:v>
                </c:pt>
                <c:pt idx="67">
                  <c:v>19944</c:v>
                </c:pt>
                <c:pt idx="68">
                  <c:v>19951</c:v>
                </c:pt>
                <c:pt idx="69">
                  <c:v>19952</c:v>
                </c:pt>
                <c:pt idx="70">
                  <c:v>19953</c:v>
                </c:pt>
                <c:pt idx="71">
                  <c:v>19954</c:v>
                </c:pt>
                <c:pt idx="72">
                  <c:v>19961</c:v>
                </c:pt>
                <c:pt idx="73">
                  <c:v>19962</c:v>
                </c:pt>
                <c:pt idx="74">
                  <c:v>19963</c:v>
                </c:pt>
                <c:pt idx="75">
                  <c:v>19964</c:v>
                </c:pt>
                <c:pt idx="76">
                  <c:v>19971</c:v>
                </c:pt>
                <c:pt idx="77">
                  <c:v>19972</c:v>
                </c:pt>
                <c:pt idx="78">
                  <c:v>19973</c:v>
                </c:pt>
                <c:pt idx="79">
                  <c:v>19974</c:v>
                </c:pt>
                <c:pt idx="80">
                  <c:v>19981</c:v>
                </c:pt>
                <c:pt idx="81">
                  <c:v>19982</c:v>
                </c:pt>
                <c:pt idx="82">
                  <c:v>19983</c:v>
                </c:pt>
                <c:pt idx="83">
                  <c:v>19984</c:v>
                </c:pt>
                <c:pt idx="84">
                  <c:v>19991</c:v>
                </c:pt>
                <c:pt idx="85">
                  <c:v>19992</c:v>
                </c:pt>
                <c:pt idx="86">
                  <c:v>19993</c:v>
                </c:pt>
                <c:pt idx="87">
                  <c:v>19994</c:v>
                </c:pt>
                <c:pt idx="88">
                  <c:v>20001</c:v>
                </c:pt>
                <c:pt idx="89">
                  <c:v>20002</c:v>
                </c:pt>
                <c:pt idx="90">
                  <c:v>20003</c:v>
                </c:pt>
                <c:pt idx="91">
                  <c:v>20004</c:v>
                </c:pt>
                <c:pt idx="92">
                  <c:v>20011</c:v>
                </c:pt>
                <c:pt idx="93">
                  <c:v>20012</c:v>
                </c:pt>
                <c:pt idx="94">
                  <c:v>20013</c:v>
                </c:pt>
                <c:pt idx="95">
                  <c:v>20014</c:v>
                </c:pt>
                <c:pt idx="96">
                  <c:v>20021</c:v>
                </c:pt>
                <c:pt idx="97">
                  <c:v>20022</c:v>
                </c:pt>
                <c:pt idx="98">
                  <c:v>20023</c:v>
                </c:pt>
                <c:pt idx="99">
                  <c:v>20024</c:v>
                </c:pt>
                <c:pt idx="100">
                  <c:v>20031</c:v>
                </c:pt>
                <c:pt idx="101">
                  <c:v>20032</c:v>
                </c:pt>
                <c:pt idx="102">
                  <c:v>20033</c:v>
                </c:pt>
                <c:pt idx="103">
                  <c:v>20034</c:v>
                </c:pt>
                <c:pt idx="104">
                  <c:v>20041</c:v>
                </c:pt>
                <c:pt idx="105">
                  <c:v>20042</c:v>
                </c:pt>
                <c:pt idx="106">
                  <c:v>20043</c:v>
                </c:pt>
                <c:pt idx="107">
                  <c:v>20044</c:v>
                </c:pt>
                <c:pt idx="108">
                  <c:v>20051</c:v>
                </c:pt>
                <c:pt idx="109">
                  <c:v>20052</c:v>
                </c:pt>
                <c:pt idx="110">
                  <c:v>20053</c:v>
                </c:pt>
                <c:pt idx="111">
                  <c:v>20054</c:v>
                </c:pt>
                <c:pt idx="112">
                  <c:v>20061</c:v>
                </c:pt>
                <c:pt idx="113">
                  <c:v>20062</c:v>
                </c:pt>
                <c:pt idx="114">
                  <c:v>20063</c:v>
                </c:pt>
                <c:pt idx="115">
                  <c:v>20064</c:v>
                </c:pt>
                <c:pt idx="116">
                  <c:v>20071</c:v>
                </c:pt>
                <c:pt idx="117">
                  <c:v>20072</c:v>
                </c:pt>
                <c:pt idx="118">
                  <c:v>20073</c:v>
                </c:pt>
                <c:pt idx="119">
                  <c:v>20074</c:v>
                </c:pt>
                <c:pt idx="120">
                  <c:v>20081</c:v>
                </c:pt>
                <c:pt idx="121">
                  <c:v>20082</c:v>
                </c:pt>
                <c:pt idx="122">
                  <c:v>20083</c:v>
                </c:pt>
                <c:pt idx="123">
                  <c:v>20084</c:v>
                </c:pt>
                <c:pt idx="124">
                  <c:v>20091</c:v>
                </c:pt>
                <c:pt idx="125">
                  <c:v>20092</c:v>
                </c:pt>
                <c:pt idx="126">
                  <c:v>20093</c:v>
                </c:pt>
                <c:pt idx="127">
                  <c:v>20094</c:v>
                </c:pt>
                <c:pt idx="128">
                  <c:v>20101</c:v>
                </c:pt>
                <c:pt idx="129">
                  <c:v>20102</c:v>
                </c:pt>
                <c:pt idx="130">
                  <c:v>20103</c:v>
                </c:pt>
                <c:pt idx="131">
                  <c:v>20104</c:v>
                </c:pt>
                <c:pt idx="132">
                  <c:v>20111</c:v>
                </c:pt>
                <c:pt idx="133">
                  <c:v>20112</c:v>
                </c:pt>
                <c:pt idx="134">
                  <c:v>20113</c:v>
                </c:pt>
                <c:pt idx="135">
                  <c:v>20114</c:v>
                </c:pt>
                <c:pt idx="136">
                  <c:v>20121</c:v>
                </c:pt>
                <c:pt idx="137">
                  <c:v>20122</c:v>
                </c:pt>
                <c:pt idx="138">
                  <c:v>20123</c:v>
                </c:pt>
                <c:pt idx="139">
                  <c:v>20124</c:v>
                </c:pt>
                <c:pt idx="140">
                  <c:v>20131</c:v>
                </c:pt>
                <c:pt idx="141">
                  <c:v>20132</c:v>
                </c:pt>
                <c:pt idx="142">
                  <c:v>20133</c:v>
                </c:pt>
                <c:pt idx="143">
                  <c:v>20134</c:v>
                </c:pt>
                <c:pt idx="144">
                  <c:v>20141</c:v>
                </c:pt>
                <c:pt idx="145">
                  <c:v>20142</c:v>
                </c:pt>
              </c:numCache>
            </c:numRef>
          </c:cat>
          <c:val>
            <c:numRef>
              <c:f>Figures!$BM$296:$BM$441</c:f>
              <c:numCache>
                <c:formatCode>General</c:formatCode>
                <c:ptCount val="14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8.962868000000004E-3</c:v>
                </c:pt>
                <c:pt idx="20">
                  <c:v>7.4388950000000035E-3</c:v>
                </c:pt>
                <c:pt idx="21">
                  <c:v>5.1124739999999997E-3</c:v>
                </c:pt>
                <c:pt idx="22">
                  <c:v>1.2108981E-2</c:v>
                </c:pt>
                <c:pt idx="23">
                  <c:v>8.0889789999999996E-3</c:v>
                </c:pt>
                <c:pt idx="24">
                  <c:v>1.2060302E-2</c:v>
                </c:pt>
                <c:pt idx="25">
                  <c:v>8.5146640000000051E-3</c:v>
                </c:pt>
                <c:pt idx="26">
                  <c:v>1.3145540000000001E-2</c:v>
                </c:pt>
                <c:pt idx="27">
                  <c:v>3.2075472000000015E-2</c:v>
                </c:pt>
                <c:pt idx="28">
                  <c:v>7.5117370000000018E-3</c:v>
                </c:pt>
                <c:pt idx="29">
                  <c:v>8.888889000000004E-3</c:v>
                </c:pt>
                <c:pt idx="30">
                  <c:v>1.4886165000000003E-2</c:v>
                </c:pt>
                <c:pt idx="31">
                  <c:v>2.1570319000000008E-2</c:v>
                </c:pt>
                <c:pt idx="32">
                  <c:v>2.5236593000000002E-2</c:v>
                </c:pt>
                <c:pt idx="33">
                  <c:v>1.0920437000000003E-2</c:v>
                </c:pt>
                <c:pt idx="34">
                  <c:v>2.4371069000000002E-2</c:v>
                </c:pt>
                <c:pt idx="35">
                  <c:v>2.793296100000001E-2</c:v>
                </c:pt>
                <c:pt idx="36">
                  <c:v>2.1505376000000014E-2</c:v>
                </c:pt>
                <c:pt idx="37">
                  <c:v>1.3071895000000004E-2</c:v>
                </c:pt>
                <c:pt idx="38">
                  <c:v>1.8991965000000003E-2</c:v>
                </c:pt>
                <c:pt idx="39">
                  <c:v>1.4967925999999999E-2</c:v>
                </c:pt>
                <c:pt idx="40">
                  <c:v>5.5944059999999997E-3</c:v>
                </c:pt>
                <c:pt idx="41">
                  <c:v>1.1401744000000004E-2</c:v>
                </c:pt>
                <c:pt idx="42">
                  <c:v>2.1433356000000011E-2</c:v>
                </c:pt>
                <c:pt idx="43">
                  <c:v>2.3437500000000007E-2</c:v>
                </c:pt>
                <c:pt idx="44">
                  <c:v>1.5424165000000005E-2</c:v>
                </c:pt>
                <c:pt idx="45">
                  <c:v>1.2202563000000001E-2</c:v>
                </c:pt>
                <c:pt idx="46">
                  <c:v>1.8810680000000003E-2</c:v>
                </c:pt>
                <c:pt idx="47">
                  <c:v>2.2289157000000014E-2</c:v>
                </c:pt>
                <c:pt idx="48">
                  <c:v>9.5828640000000034E-3</c:v>
                </c:pt>
                <c:pt idx="49">
                  <c:v>6.6408410000000024E-3</c:v>
                </c:pt>
                <c:pt idx="50">
                  <c:v>6.0175050000000002E-3</c:v>
                </c:pt>
                <c:pt idx="51">
                  <c:v>2.024507200000001E-2</c:v>
                </c:pt>
                <c:pt idx="52">
                  <c:v>9.4433400000000049E-3</c:v>
                </c:pt>
                <c:pt idx="53">
                  <c:v>1.7681729000000007E-2</c:v>
                </c:pt>
                <c:pt idx="54">
                  <c:v>8.0080080000000005E-3</c:v>
                </c:pt>
                <c:pt idx="55">
                  <c:v>8.3826430000000091E-3</c:v>
                </c:pt>
                <c:pt idx="56">
                  <c:v>4.8216010000000017E-3</c:v>
                </c:pt>
                <c:pt idx="57">
                  <c:v>2.7985070000000017E-3</c:v>
                </c:pt>
                <c:pt idx="58">
                  <c:v>4.4365570000000024E-3</c:v>
                </c:pt>
                <c:pt idx="59">
                  <c:v>1.5226152999999999E-2</c:v>
                </c:pt>
                <c:pt idx="60">
                  <c:v>6.1176470000000021E-3</c:v>
                </c:pt>
                <c:pt idx="61">
                  <c:v>1.0545621000000003E-2</c:v>
                </c:pt>
                <c:pt idx="62">
                  <c:v>1.0309278E-2</c:v>
                </c:pt>
                <c:pt idx="63">
                  <c:v>2.1749638000000002E-2</c:v>
                </c:pt>
                <c:pt idx="64">
                  <c:v>1.2450199E-2</c:v>
                </c:pt>
                <c:pt idx="65">
                  <c:v>1.0945274000000001E-2</c:v>
                </c:pt>
                <c:pt idx="66">
                  <c:v>1.8191005999999999E-2</c:v>
                </c:pt>
                <c:pt idx="67">
                  <c:v>2.436548199999999E-2</c:v>
                </c:pt>
                <c:pt idx="68">
                  <c:v>1.946107800000001E-2</c:v>
                </c:pt>
                <c:pt idx="69">
                  <c:v>1.7439191999999999E-2</c:v>
                </c:pt>
                <c:pt idx="70">
                  <c:v>1.3513514000000001E-2</c:v>
                </c:pt>
                <c:pt idx="71">
                  <c:v>1.7657191999999999E-2</c:v>
                </c:pt>
                <c:pt idx="72">
                  <c:v>1.5352696999999997E-2</c:v>
                </c:pt>
                <c:pt idx="73">
                  <c:v>1.3855899000000001E-2</c:v>
                </c:pt>
                <c:pt idx="74">
                  <c:v>2.3431295000000012E-2</c:v>
                </c:pt>
                <c:pt idx="75">
                  <c:v>4.8780488000000018E-2</c:v>
                </c:pt>
                <c:pt idx="76">
                  <c:v>3.1405592000000017E-2</c:v>
                </c:pt>
                <c:pt idx="77">
                  <c:v>3.5818713000000002E-2</c:v>
                </c:pt>
                <c:pt idx="78">
                  <c:v>3.3509035999999999E-2</c:v>
                </c:pt>
                <c:pt idx="79">
                  <c:v>4.5703125000000004E-2</c:v>
                </c:pt>
                <c:pt idx="80">
                  <c:v>4.3265305999999983E-2</c:v>
                </c:pt>
                <c:pt idx="81">
                  <c:v>2.9611845000000015E-2</c:v>
                </c:pt>
                <c:pt idx="82">
                  <c:v>3.1553398000000017E-2</c:v>
                </c:pt>
                <c:pt idx="83">
                  <c:v>5.6967213000000017E-2</c:v>
                </c:pt>
                <c:pt idx="84">
                  <c:v>2.9576339E-2</c:v>
                </c:pt>
                <c:pt idx="85">
                  <c:v>3.2902468000000004E-2</c:v>
                </c:pt>
                <c:pt idx="86">
                  <c:v>2.6416538999999999E-2</c:v>
                </c:pt>
                <c:pt idx="87">
                  <c:v>3.3485540000000001E-2</c:v>
                </c:pt>
                <c:pt idx="88">
                  <c:v>1.7575978999999999E-2</c:v>
                </c:pt>
                <c:pt idx="89">
                  <c:v>1.7034067999999996E-2</c:v>
                </c:pt>
                <c:pt idx="90">
                  <c:v>4.0669072000000001E-2</c:v>
                </c:pt>
                <c:pt idx="91">
                  <c:v>2.2126816000000001E-2</c:v>
                </c:pt>
                <c:pt idx="92">
                  <c:v>1.7003529000000007E-2</c:v>
                </c:pt>
                <c:pt idx="93">
                  <c:v>2.2154779999999999E-2</c:v>
                </c:pt>
                <c:pt idx="94">
                  <c:v>2.6978950000000002E-2</c:v>
                </c:pt>
                <c:pt idx="95">
                  <c:v>1.5958963E-2</c:v>
                </c:pt>
                <c:pt idx="96">
                  <c:v>2.0089286000000001E-2</c:v>
                </c:pt>
                <c:pt idx="97">
                  <c:v>2.0762154999999994E-2</c:v>
                </c:pt>
                <c:pt idx="98">
                  <c:v>1.8050066E-2</c:v>
                </c:pt>
                <c:pt idx="99">
                  <c:v>1.8609074000000007E-2</c:v>
                </c:pt>
                <c:pt idx="100">
                  <c:v>1.7701385000000007E-2</c:v>
                </c:pt>
                <c:pt idx="101">
                  <c:v>1.8136019999999999E-2</c:v>
                </c:pt>
                <c:pt idx="102">
                  <c:v>2.6143791000000006E-2</c:v>
                </c:pt>
                <c:pt idx="103">
                  <c:v>2.9310345000000002E-2</c:v>
                </c:pt>
                <c:pt idx="104">
                  <c:v>2.5488739999999999E-2</c:v>
                </c:pt>
                <c:pt idx="105">
                  <c:v>2.3133015000000007E-2</c:v>
                </c:pt>
                <c:pt idx="106">
                  <c:v>2.6080477000000008E-2</c:v>
                </c:pt>
                <c:pt idx="107">
                  <c:v>5.5180723000000015E-2</c:v>
                </c:pt>
                <c:pt idx="108">
                  <c:v>1.7747279000000001E-2</c:v>
                </c:pt>
                <c:pt idx="109">
                  <c:v>5.5055933000000015E-2</c:v>
                </c:pt>
                <c:pt idx="110">
                  <c:v>3.3998683999999987E-2</c:v>
                </c:pt>
                <c:pt idx="111">
                  <c:v>3.8845256000000002E-2</c:v>
                </c:pt>
                <c:pt idx="112">
                  <c:v>2.6083298000000015E-2</c:v>
                </c:pt>
                <c:pt idx="113">
                  <c:v>3.8994458000000003E-2</c:v>
                </c:pt>
                <c:pt idx="114">
                  <c:v>2.4224805999999998E-2</c:v>
                </c:pt>
                <c:pt idx="115">
                  <c:v>2.9450384999999999E-2</c:v>
                </c:pt>
                <c:pt idx="116">
                  <c:v>2.0486556E-2</c:v>
                </c:pt>
                <c:pt idx="117">
                  <c:v>3.3423181000000003E-2</c:v>
                </c:pt>
                <c:pt idx="118">
                  <c:v>2.4001433000000006E-2</c:v>
                </c:pt>
                <c:pt idx="119">
                  <c:v>1.8732492999999999E-2</c:v>
                </c:pt>
                <c:pt idx="120">
                  <c:v>9.3723850000000039E-3</c:v>
                </c:pt>
                <c:pt idx="121">
                  <c:v>9.4848730000000013E-3</c:v>
                </c:pt>
                <c:pt idx="122">
                  <c:v>1.1358183000000001E-2</c:v>
                </c:pt>
                <c:pt idx="123">
                  <c:v>5.729747000000002E-3</c:v>
                </c:pt>
                <c:pt idx="124">
                  <c:v>2.8020440000000001E-3</c:v>
                </c:pt>
                <c:pt idx="125">
                  <c:v>6.2101650000000019E-3</c:v>
                </c:pt>
                <c:pt idx="126">
                  <c:v>1.2940796000000001E-2</c:v>
                </c:pt>
                <c:pt idx="127">
                  <c:v>1.3535287999999998E-2</c:v>
                </c:pt>
                <c:pt idx="128">
                  <c:v>9.2348280000000005E-3</c:v>
                </c:pt>
                <c:pt idx="129">
                  <c:v>8.0804750000000054E-3</c:v>
                </c:pt>
                <c:pt idx="130">
                  <c:v>1.4533442999999997E-2</c:v>
                </c:pt>
                <c:pt idx="131">
                  <c:v>1.1015713999999998E-2</c:v>
                </c:pt>
                <c:pt idx="132">
                  <c:v>8.7761290000000006E-3</c:v>
                </c:pt>
                <c:pt idx="133">
                  <c:v>1.3387935000000004E-2</c:v>
                </c:pt>
                <c:pt idx="134">
                  <c:v>1.4023731999999999E-2</c:v>
                </c:pt>
                <c:pt idx="135">
                  <c:v>1.8505027000000007E-2</c:v>
                </c:pt>
                <c:pt idx="136">
                  <c:v>1.2105856E-2</c:v>
                </c:pt>
                <c:pt idx="137">
                  <c:v>1.4796547E-2</c:v>
                </c:pt>
                <c:pt idx="138">
                  <c:v>1.6767455000000007E-2</c:v>
                </c:pt>
                <c:pt idx="139">
                  <c:v>2.8335625999999999E-2</c:v>
                </c:pt>
                <c:pt idx="140">
                  <c:v>2.7154991999999999E-2</c:v>
                </c:pt>
                <c:pt idx="141">
                  <c:v>2.7186928000000006E-2</c:v>
                </c:pt>
                <c:pt idx="142">
                  <c:v>2.3911187E-2</c:v>
                </c:pt>
                <c:pt idx="143">
                  <c:v>2.9311326000000002E-2</c:v>
                </c:pt>
                <c:pt idx="144">
                  <c:v>1.5786452000000003E-2</c:v>
                </c:pt>
                <c:pt idx="145">
                  <c:v>1.9044952E-2</c:v>
                </c:pt>
              </c:numCache>
            </c:numRef>
          </c:val>
        </c:ser>
        <c:axId val="114774784"/>
        <c:axId val="114772608"/>
      </c:barChart>
      <c:lineChart>
        <c:grouping val="standard"/>
        <c:ser>
          <c:idx val="0"/>
          <c:order val="0"/>
          <c:tx>
            <c:v>Income Returns</c:v>
          </c:tx>
          <c:spPr>
            <a:ln w="15875">
              <a:solidFill>
                <a:schemeClr val="tx1"/>
              </a:solidFill>
              <a:prstDash val="sysDash"/>
            </a:ln>
          </c:spPr>
          <c:marker>
            <c:symbol val="none"/>
          </c:marker>
          <c:cat>
            <c:numRef>
              <c:f>Figures!$A$296:$A$441</c:f>
              <c:numCache>
                <c:formatCode>General</c:formatCode>
                <c:ptCount val="146"/>
                <c:pt idx="0">
                  <c:v>19781</c:v>
                </c:pt>
                <c:pt idx="1">
                  <c:v>19782</c:v>
                </c:pt>
                <c:pt idx="2">
                  <c:v>19783</c:v>
                </c:pt>
                <c:pt idx="3">
                  <c:v>19784</c:v>
                </c:pt>
                <c:pt idx="4">
                  <c:v>19791</c:v>
                </c:pt>
                <c:pt idx="5">
                  <c:v>19792</c:v>
                </c:pt>
                <c:pt idx="6">
                  <c:v>19793</c:v>
                </c:pt>
                <c:pt idx="7">
                  <c:v>19794</c:v>
                </c:pt>
                <c:pt idx="8">
                  <c:v>19801</c:v>
                </c:pt>
                <c:pt idx="9">
                  <c:v>19802</c:v>
                </c:pt>
                <c:pt idx="10">
                  <c:v>19803</c:v>
                </c:pt>
                <c:pt idx="11">
                  <c:v>19804</c:v>
                </c:pt>
                <c:pt idx="12">
                  <c:v>19811</c:v>
                </c:pt>
                <c:pt idx="13">
                  <c:v>19812</c:v>
                </c:pt>
                <c:pt idx="14">
                  <c:v>19813</c:v>
                </c:pt>
                <c:pt idx="15">
                  <c:v>19814</c:v>
                </c:pt>
                <c:pt idx="16">
                  <c:v>19821</c:v>
                </c:pt>
                <c:pt idx="17">
                  <c:v>19822</c:v>
                </c:pt>
                <c:pt idx="18">
                  <c:v>19823</c:v>
                </c:pt>
                <c:pt idx="19">
                  <c:v>19824</c:v>
                </c:pt>
                <c:pt idx="20">
                  <c:v>19831</c:v>
                </c:pt>
                <c:pt idx="21">
                  <c:v>19832</c:v>
                </c:pt>
                <c:pt idx="22">
                  <c:v>19833</c:v>
                </c:pt>
                <c:pt idx="23">
                  <c:v>19834</c:v>
                </c:pt>
                <c:pt idx="24">
                  <c:v>19841</c:v>
                </c:pt>
                <c:pt idx="25">
                  <c:v>19842</c:v>
                </c:pt>
                <c:pt idx="26">
                  <c:v>19843</c:v>
                </c:pt>
                <c:pt idx="27">
                  <c:v>19844</c:v>
                </c:pt>
                <c:pt idx="28">
                  <c:v>19851</c:v>
                </c:pt>
                <c:pt idx="29">
                  <c:v>19852</c:v>
                </c:pt>
                <c:pt idx="30">
                  <c:v>19853</c:v>
                </c:pt>
                <c:pt idx="31">
                  <c:v>19854</c:v>
                </c:pt>
                <c:pt idx="32">
                  <c:v>19861</c:v>
                </c:pt>
                <c:pt idx="33">
                  <c:v>19862</c:v>
                </c:pt>
                <c:pt idx="34">
                  <c:v>19863</c:v>
                </c:pt>
                <c:pt idx="35">
                  <c:v>19864</c:v>
                </c:pt>
                <c:pt idx="36">
                  <c:v>19871</c:v>
                </c:pt>
                <c:pt idx="37">
                  <c:v>19872</c:v>
                </c:pt>
                <c:pt idx="38">
                  <c:v>19873</c:v>
                </c:pt>
                <c:pt idx="39">
                  <c:v>19874</c:v>
                </c:pt>
                <c:pt idx="40">
                  <c:v>19881</c:v>
                </c:pt>
                <c:pt idx="41">
                  <c:v>19882</c:v>
                </c:pt>
                <c:pt idx="42">
                  <c:v>19883</c:v>
                </c:pt>
                <c:pt idx="43">
                  <c:v>19884</c:v>
                </c:pt>
                <c:pt idx="44">
                  <c:v>19891</c:v>
                </c:pt>
                <c:pt idx="45">
                  <c:v>19892</c:v>
                </c:pt>
                <c:pt idx="46">
                  <c:v>19893</c:v>
                </c:pt>
                <c:pt idx="47">
                  <c:v>19894</c:v>
                </c:pt>
                <c:pt idx="48">
                  <c:v>19901</c:v>
                </c:pt>
                <c:pt idx="49">
                  <c:v>19902</c:v>
                </c:pt>
                <c:pt idx="50">
                  <c:v>19903</c:v>
                </c:pt>
                <c:pt idx="51">
                  <c:v>19904</c:v>
                </c:pt>
                <c:pt idx="52">
                  <c:v>19911</c:v>
                </c:pt>
                <c:pt idx="53">
                  <c:v>19912</c:v>
                </c:pt>
                <c:pt idx="54">
                  <c:v>19913</c:v>
                </c:pt>
                <c:pt idx="55">
                  <c:v>19914</c:v>
                </c:pt>
                <c:pt idx="56">
                  <c:v>19921</c:v>
                </c:pt>
                <c:pt idx="57">
                  <c:v>19922</c:v>
                </c:pt>
                <c:pt idx="58">
                  <c:v>19923</c:v>
                </c:pt>
                <c:pt idx="59">
                  <c:v>19924</c:v>
                </c:pt>
                <c:pt idx="60">
                  <c:v>19931</c:v>
                </c:pt>
                <c:pt idx="61">
                  <c:v>19932</c:v>
                </c:pt>
                <c:pt idx="62">
                  <c:v>19933</c:v>
                </c:pt>
                <c:pt idx="63">
                  <c:v>19934</c:v>
                </c:pt>
                <c:pt idx="64">
                  <c:v>19941</c:v>
                </c:pt>
                <c:pt idx="65">
                  <c:v>19942</c:v>
                </c:pt>
                <c:pt idx="66">
                  <c:v>19943</c:v>
                </c:pt>
                <c:pt idx="67">
                  <c:v>19944</c:v>
                </c:pt>
                <c:pt idx="68">
                  <c:v>19951</c:v>
                </c:pt>
                <c:pt idx="69">
                  <c:v>19952</c:v>
                </c:pt>
                <c:pt idx="70">
                  <c:v>19953</c:v>
                </c:pt>
                <c:pt idx="71">
                  <c:v>19954</c:v>
                </c:pt>
                <c:pt idx="72">
                  <c:v>19961</c:v>
                </c:pt>
                <c:pt idx="73">
                  <c:v>19962</c:v>
                </c:pt>
                <c:pt idx="74">
                  <c:v>19963</c:v>
                </c:pt>
                <c:pt idx="75">
                  <c:v>19964</c:v>
                </c:pt>
                <c:pt idx="76">
                  <c:v>19971</c:v>
                </c:pt>
                <c:pt idx="77">
                  <c:v>19972</c:v>
                </c:pt>
                <c:pt idx="78">
                  <c:v>19973</c:v>
                </c:pt>
                <c:pt idx="79">
                  <c:v>19974</c:v>
                </c:pt>
                <c:pt idx="80">
                  <c:v>19981</c:v>
                </c:pt>
                <c:pt idx="81">
                  <c:v>19982</c:v>
                </c:pt>
                <c:pt idx="82">
                  <c:v>19983</c:v>
                </c:pt>
                <c:pt idx="83">
                  <c:v>19984</c:v>
                </c:pt>
                <c:pt idx="84">
                  <c:v>19991</c:v>
                </c:pt>
                <c:pt idx="85">
                  <c:v>19992</c:v>
                </c:pt>
                <c:pt idx="86">
                  <c:v>19993</c:v>
                </c:pt>
                <c:pt idx="87">
                  <c:v>19994</c:v>
                </c:pt>
                <c:pt idx="88">
                  <c:v>20001</c:v>
                </c:pt>
                <c:pt idx="89">
                  <c:v>20002</c:v>
                </c:pt>
                <c:pt idx="90">
                  <c:v>20003</c:v>
                </c:pt>
                <c:pt idx="91">
                  <c:v>20004</c:v>
                </c:pt>
                <c:pt idx="92">
                  <c:v>20011</c:v>
                </c:pt>
                <c:pt idx="93">
                  <c:v>20012</c:v>
                </c:pt>
                <c:pt idx="94">
                  <c:v>20013</c:v>
                </c:pt>
                <c:pt idx="95">
                  <c:v>20014</c:v>
                </c:pt>
                <c:pt idx="96">
                  <c:v>20021</c:v>
                </c:pt>
                <c:pt idx="97">
                  <c:v>20022</c:v>
                </c:pt>
                <c:pt idx="98">
                  <c:v>20023</c:v>
                </c:pt>
                <c:pt idx="99">
                  <c:v>20024</c:v>
                </c:pt>
                <c:pt idx="100">
                  <c:v>20031</c:v>
                </c:pt>
                <c:pt idx="101">
                  <c:v>20032</c:v>
                </c:pt>
                <c:pt idx="102">
                  <c:v>20033</c:v>
                </c:pt>
                <c:pt idx="103">
                  <c:v>20034</c:v>
                </c:pt>
                <c:pt idx="104">
                  <c:v>20041</c:v>
                </c:pt>
                <c:pt idx="105">
                  <c:v>20042</c:v>
                </c:pt>
                <c:pt idx="106">
                  <c:v>20043</c:v>
                </c:pt>
                <c:pt idx="107">
                  <c:v>20044</c:v>
                </c:pt>
                <c:pt idx="108">
                  <c:v>20051</c:v>
                </c:pt>
                <c:pt idx="109">
                  <c:v>20052</c:v>
                </c:pt>
                <c:pt idx="110">
                  <c:v>20053</c:v>
                </c:pt>
                <c:pt idx="111">
                  <c:v>20054</c:v>
                </c:pt>
                <c:pt idx="112">
                  <c:v>20061</c:v>
                </c:pt>
                <c:pt idx="113">
                  <c:v>20062</c:v>
                </c:pt>
                <c:pt idx="114">
                  <c:v>20063</c:v>
                </c:pt>
                <c:pt idx="115">
                  <c:v>20064</c:v>
                </c:pt>
                <c:pt idx="116">
                  <c:v>20071</c:v>
                </c:pt>
                <c:pt idx="117">
                  <c:v>20072</c:v>
                </c:pt>
                <c:pt idx="118">
                  <c:v>20073</c:v>
                </c:pt>
                <c:pt idx="119">
                  <c:v>20074</c:v>
                </c:pt>
                <c:pt idx="120">
                  <c:v>20081</c:v>
                </c:pt>
                <c:pt idx="121">
                  <c:v>20082</c:v>
                </c:pt>
                <c:pt idx="122">
                  <c:v>20083</c:v>
                </c:pt>
                <c:pt idx="123">
                  <c:v>20084</c:v>
                </c:pt>
                <c:pt idx="124">
                  <c:v>20091</c:v>
                </c:pt>
                <c:pt idx="125">
                  <c:v>20092</c:v>
                </c:pt>
                <c:pt idx="126">
                  <c:v>20093</c:v>
                </c:pt>
                <c:pt idx="127">
                  <c:v>20094</c:v>
                </c:pt>
                <c:pt idx="128">
                  <c:v>20101</c:v>
                </c:pt>
                <c:pt idx="129">
                  <c:v>20102</c:v>
                </c:pt>
                <c:pt idx="130">
                  <c:v>20103</c:v>
                </c:pt>
                <c:pt idx="131">
                  <c:v>20104</c:v>
                </c:pt>
                <c:pt idx="132">
                  <c:v>20111</c:v>
                </c:pt>
                <c:pt idx="133">
                  <c:v>20112</c:v>
                </c:pt>
                <c:pt idx="134">
                  <c:v>20113</c:v>
                </c:pt>
                <c:pt idx="135">
                  <c:v>20114</c:v>
                </c:pt>
                <c:pt idx="136">
                  <c:v>20121</c:v>
                </c:pt>
                <c:pt idx="137">
                  <c:v>20122</c:v>
                </c:pt>
                <c:pt idx="138">
                  <c:v>20123</c:v>
                </c:pt>
                <c:pt idx="139">
                  <c:v>20124</c:v>
                </c:pt>
                <c:pt idx="140">
                  <c:v>20131</c:v>
                </c:pt>
                <c:pt idx="141">
                  <c:v>20132</c:v>
                </c:pt>
                <c:pt idx="142">
                  <c:v>20133</c:v>
                </c:pt>
                <c:pt idx="143">
                  <c:v>20134</c:v>
                </c:pt>
                <c:pt idx="144">
                  <c:v>20141</c:v>
                </c:pt>
                <c:pt idx="145">
                  <c:v>20142</c:v>
                </c:pt>
              </c:numCache>
            </c:numRef>
          </c:cat>
          <c:val>
            <c:numRef>
              <c:f>Figures!$BE$296:$BE$441</c:f>
              <c:numCache>
                <c:formatCode>0%</c:formatCode>
                <c:ptCount val="146"/>
                <c:pt idx="0">
                  <c:v>2.262225900000004E-2</c:v>
                </c:pt>
                <c:pt idx="1">
                  <c:v>2.2463471000000016E-2</c:v>
                </c:pt>
                <c:pt idx="2">
                  <c:v>2.2726999000000078E-2</c:v>
                </c:pt>
                <c:pt idx="3">
                  <c:v>2.058067400000008E-2</c:v>
                </c:pt>
                <c:pt idx="4">
                  <c:v>2.03224529999999E-2</c:v>
                </c:pt>
                <c:pt idx="5">
                  <c:v>1.9864772999999898E-2</c:v>
                </c:pt>
                <c:pt idx="6">
                  <c:v>1.6942693000000071E-2</c:v>
                </c:pt>
                <c:pt idx="7">
                  <c:v>2.2470575000000059E-2</c:v>
                </c:pt>
                <c:pt idx="8">
                  <c:v>1.9981215000000063E-2</c:v>
                </c:pt>
                <c:pt idx="9">
                  <c:v>1.9342154999999923E-2</c:v>
                </c:pt>
                <c:pt idx="10">
                  <c:v>1.9636594999999923E-2</c:v>
                </c:pt>
                <c:pt idx="11">
                  <c:v>1.5744436000000087E-2</c:v>
                </c:pt>
                <c:pt idx="12">
                  <c:v>1.6421441000000099E-2</c:v>
                </c:pt>
                <c:pt idx="13">
                  <c:v>1.9486418999999925E-2</c:v>
                </c:pt>
                <c:pt idx="14">
                  <c:v>1.7175747000000019E-2</c:v>
                </c:pt>
                <c:pt idx="15">
                  <c:v>1.8929490999999965E-2</c:v>
                </c:pt>
                <c:pt idx="16">
                  <c:v>1.7535250999999974E-2</c:v>
                </c:pt>
                <c:pt idx="17">
                  <c:v>1.793539899999996E-2</c:v>
                </c:pt>
                <c:pt idx="18">
                  <c:v>1.8070166000000002E-2</c:v>
                </c:pt>
                <c:pt idx="19">
                  <c:v>1.8678677999999893E-2</c:v>
                </c:pt>
                <c:pt idx="20">
                  <c:v>1.9955165000000063E-2</c:v>
                </c:pt>
                <c:pt idx="21">
                  <c:v>1.8889009000000023E-2</c:v>
                </c:pt>
                <c:pt idx="22">
                  <c:v>1.7900218999999939E-2</c:v>
                </c:pt>
                <c:pt idx="23">
                  <c:v>1.6654428000000061E-2</c:v>
                </c:pt>
                <c:pt idx="24">
                  <c:v>1.7178138000000009E-2</c:v>
                </c:pt>
                <c:pt idx="25">
                  <c:v>1.8161902999999979E-2</c:v>
                </c:pt>
                <c:pt idx="26">
                  <c:v>1.7291916000000018E-2</c:v>
                </c:pt>
                <c:pt idx="27">
                  <c:v>1.7184451999999961E-2</c:v>
                </c:pt>
                <c:pt idx="28">
                  <c:v>1.7229487999999904E-2</c:v>
                </c:pt>
                <c:pt idx="29">
                  <c:v>1.8749380999999902E-2</c:v>
                </c:pt>
                <c:pt idx="30">
                  <c:v>1.8432564000000047E-2</c:v>
                </c:pt>
                <c:pt idx="31">
                  <c:v>1.7539068000000047E-2</c:v>
                </c:pt>
                <c:pt idx="32">
                  <c:v>1.7210031000000073E-2</c:v>
                </c:pt>
                <c:pt idx="33">
                  <c:v>1.7729995999999915E-2</c:v>
                </c:pt>
                <c:pt idx="34">
                  <c:v>1.6944392000000089E-2</c:v>
                </c:pt>
                <c:pt idx="35">
                  <c:v>1.6948065000000019E-2</c:v>
                </c:pt>
                <c:pt idx="36">
                  <c:v>1.7034098999999966E-2</c:v>
                </c:pt>
                <c:pt idx="37">
                  <c:v>1.7994679999999933E-2</c:v>
                </c:pt>
                <c:pt idx="38">
                  <c:v>1.7159845999999979E-2</c:v>
                </c:pt>
                <c:pt idx="39">
                  <c:v>1.65330239999999E-2</c:v>
                </c:pt>
                <c:pt idx="40">
                  <c:v>1.6551532000000042E-2</c:v>
                </c:pt>
                <c:pt idx="41">
                  <c:v>1.6342459000000094E-2</c:v>
                </c:pt>
                <c:pt idx="42">
                  <c:v>1.6172781000000087E-2</c:v>
                </c:pt>
                <c:pt idx="43">
                  <c:v>1.5767695999999942E-2</c:v>
                </c:pt>
                <c:pt idx="44">
                  <c:v>1.6116556000000063E-2</c:v>
                </c:pt>
                <c:pt idx="45">
                  <c:v>1.6182507999999991E-2</c:v>
                </c:pt>
                <c:pt idx="46">
                  <c:v>1.5165716000000051E-2</c:v>
                </c:pt>
                <c:pt idx="47">
                  <c:v>1.4911646000000056E-2</c:v>
                </c:pt>
                <c:pt idx="48">
                  <c:v>1.5207262999999964E-2</c:v>
                </c:pt>
                <c:pt idx="49">
                  <c:v>1.4942315999999957E-2</c:v>
                </c:pt>
                <c:pt idx="50">
                  <c:v>1.5525330000000007E-2</c:v>
                </c:pt>
                <c:pt idx="51">
                  <c:v>1.575875500000002E-2</c:v>
                </c:pt>
                <c:pt idx="52">
                  <c:v>1.5819156999999917E-2</c:v>
                </c:pt>
                <c:pt idx="53">
                  <c:v>1.6224913999999924E-2</c:v>
                </c:pt>
                <c:pt idx="54">
                  <c:v>1.6026601999999945E-2</c:v>
                </c:pt>
                <c:pt idx="55">
                  <c:v>1.6040457999999983E-2</c:v>
                </c:pt>
                <c:pt idx="56">
                  <c:v>1.7562182000000041E-2</c:v>
                </c:pt>
                <c:pt idx="57">
                  <c:v>1.98677679999999E-2</c:v>
                </c:pt>
                <c:pt idx="58">
                  <c:v>1.8147667999999895E-2</c:v>
                </c:pt>
                <c:pt idx="59">
                  <c:v>1.9008099999999979E-2</c:v>
                </c:pt>
                <c:pt idx="60">
                  <c:v>2.1035608000000049E-2</c:v>
                </c:pt>
                <c:pt idx="61">
                  <c:v>1.9098821000000051E-2</c:v>
                </c:pt>
                <c:pt idx="62">
                  <c:v>2.0593253999999998E-2</c:v>
                </c:pt>
                <c:pt idx="63">
                  <c:v>2.1391202000000005E-2</c:v>
                </c:pt>
                <c:pt idx="64">
                  <c:v>2.1622843999999926E-2</c:v>
                </c:pt>
                <c:pt idx="65">
                  <c:v>2.2351132000000058E-2</c:v>
                </c:pt>
                <c:pt idx="66">
                  <c:v>2.2571021000000087E-2</c:v>
                </c:pt>
                <c:pt idx="67">
                  <c:v>2.3507305999999957E-2</c:v>
                </c:pt>
                <c:pt idx="68">
                  <c:v>2.3557327000000024E-2</c:v>
                </c:pt>
                <c:pt idx="69">
                  <c:v>2.3919462999999912E-2</c:v>
                </c:pt>
                <c:pt idx="70">
                  <c:v>2.2991586000000071E-2</c:v>
                </c:pt>
                <c:pt idx="71">
                  <c:v>2.2536195000000047E-2</c:v>
                </c:pt>
                <c:pt idx="72">
                  <c:v>2.1416861000000072E-2</c:v>
                </c:pt>
                <c:pt idx="73">
                  <c:v>2.3017440000000049E-2</c:v>
                </c:pt>
                <c:pt idx="74">
                  <c:v>2.1671860999999976E-2</c:v>
                </c:pt>
                <c:pt idx="75">
                  <c:v>2.1248487999999892E-2</c:v>
                </c:pt>
                <c:pt idx="76">
                  <c:v>2.2343502000000022E-2</c:v>
                </c:pt>
                <c:pt idx="77">
                  <c:v>2.3027973999999889E-2</c:v>
                </c:pt>
                <c:pt idx="78">
                  <c:v>2.2879389000000094E-2</c:v>
                </c:pt>
                <c:pt idx="79">
                  <c:v>2.2514802999999979E-2</c:v>
                </c:pt>
                <c:pt idx="80">
                  <c:v>2.2087369000000089E-2</c:v>
                </c:pt>
                <c:pt idx="81">
                  <c:v>2.0907165999999987E-2</c:v>
                </c:pt>
                <c:pt idx="82">
                  <c:v>2.0927796000000047E-2</c:v>
                </c:pt>
                <c:pt idx="83">
                  <c:v>2.0200030999999893E-2</c:v>
                </c:pt>
                <c:pt idx="84">
                  <c:v>1.9427802000000056E-2</c:v>
                </c:pt>
                <c:pt idx="85">
                  <c:v>2.0363394000000087E-2</c:v>
                </c:pt>
                <c:pt idx="86">
                  <c:v>1.9613324999999907E-2</c:v>
                </c:pt>
                <c:pt idx="87">
                  <c:v>1.8975498000000098E-2</c:v>
                </c:pt>
                <c:pt idx="88">
                  <c:v>1.9328798999999959E-2</c:v>
                </c:pt>
                <c:pt idx="89">
                  <c:v>2.1208703999999978E-2</c:v>
                </c:pt>
                <c:pt idx="90">
                  <c:v>2.1069408000000008E-2</c:v>
                </c:pt>
                <c:pt idx="91">
                  <c:v>2.0888846000000079E-2</c:v>
                </c:pt>
                <c:pt idx="92">
                  <c:v>2.1297018000000067E-2</c:v>
                </c:pt>
                <c:pt idx="93">
                  <c:v>2.1862529999999929E-2</c:v>
                </c:pt>
                <c:pt idx="94">
                  <c:v>2.1204165000000118E-2</c:v>
                </c:pt>
                <c:pt idx="95">
                  <c:v>2.0922381999999955E-2</c:v>
                </c:pt>
                <c:pt idx="96">
                  <c:v>2.1520191000000015E-2</c:v>
                </c:pt>
                <c:pt idx="97">
                  <c:v>2.1771892000000088E-2</c:v>
                </c:pt>
                <c:pt idx="98">
                  <c:v>2.1306698000000072E-2</c:v>
                </c:pt>
                <c:pt idx="99">
                  <c:v>2.0314804999999929E-2</c:v>
                </c:pt>
                <c:pt idx="100">
                  <c:v>2.0677065999999984E-2</c:v>
                </c:pt>
                <c:pt idx="101">
                  <c:v>2.0939974000000038E-2</c:v>
                </c:pt>
                <c:pt idx="102">
                  <c:v>1.9583896999999961E-2</c:v>
                </c:pt>
                <c:pt idx="103">
                  <c:v>1.9574041000000045E-2</c:v>
                </c:pt>
                <c:pt idx="104">
                  <c:v>1.9246528000000051E-2</c:v>
                </c:pt>
                <c:pt idx="105">
                  <c:v>1.9437286999999914E-2</c:v>
                </c:pt>
                <c:pt idx="106">
                  <c:v>1.8701469000000037E-2</c:v>
                </c:pt>
                <c:pt idx="107">
                  <c:v>1.8089647999999899E-2</c:v>
                </c:pt>
                <c:pt idx="108">
                  <c:v>1.7830062999999896E-2</c:v>
                </c:pt>
                <c:pt idx="109">
                  <c:v>1.7103332000000027E-2</c:v>
                </c:pt>
                <c:pt idx="110">
                  <c:v>1.631807399999996E-2</c:v>
                </c:pt>
                <c:pt idx="111">
                  <c:v>1.5978963000000013E-2</c:v>
                </c:pt>
                <c:pt idx="112">
                  <c:v>1.549996000000009E-2</c:v>
                </c:pt>
                <c:pt idx="113">
                  <c:v>1.5494297999999899E-2</c:v>
                </c:pt>
                <c:pt idx="114">
                  <c:v>1.6125198999999982E-2</c:v>
                </c:pt>
                <c:pt idx="115">
                  <c:v>1.460440399999996E-2</c:v>
                </c:pt>
                <c:pt idx="116">
                  <c:v>1.4294487999999994E-2</c:v>
                </c:pt>
                <c:pt idx="117">
                  <c:v>1.3960951999999919E-2</c:v>
                </c:pt>
                <c:pt idx="118">
                  <c:v>1.2690700999999915E-2</c:v>
                </c:pt>
                <c:pt idx="119">
                  <c:v>1.301629299999995E-2</c:v>
                </c:pt>
                <c:pt idx="120">
                  <c:v>1.2302924000000107E-2</c:v>
                </c:pt>
                <c:pt idx="121">
                  <c:v>1.2242298000000099E-2</c:v>
                </c:pt>
                <c:pt idx="122">
                  <c:v>1.1734837000000112E-2</c:v>
                </c:pt>
                <c:pt idx="123">
                  <c:v>1.1972464000000075E-2</c:v>
                </c:pt>
                <c:pt idx="124">
                  <c:v>1.3856542999999938E-2</c:v>
                </c:pt>
                <c:pt idx="125">
                  <c:v>1.56025740000001E-2</c:v>
                </c:pt>
                <c:pt idx="126">
                  <c:v>1.6265307999999923E-2</c:v>
                </c:pt>
                <c:pt idx="127">
                  <c:v>1.6353937999999957E-2</c:v>
                </c:pt>
                <c:pt idx="128">
                  <c:v>1.7338325999999959E-2</c:v>
                </c:pt>
                <c:pt idx="129">
                  <c:v>1.7793672999999899E-2</c:v>
                </c:pt>
                <c:pt idx="130">
                  <c:v>1.6512987000000041E-2</c:v>
                </c:pt>
                <c:pt idx="131">
                  <c:v>1.5801893999999983E-2</c:v>
                </c:pt>
                <c:pt idx="132">
                  <c:v>1.5287497000000098E-2</c:v>
                </c:pt>
                <c:pt idx="133">
                  <c:v>1.5433446000000073E-2</c:v>
                </c:pt>
                <c:pt idx="134">
                  <c:v>1.4281997000000102E-2</c:v>
                </c:pt>
                <c:pt idx="135">
                  <c:v>1.3876836999999975E-2</c:v>
                </c:pt>
                <c:pt idx="136">
                  <c:v>1.407862199999998E-2</c:v>
                </c:pt>
                <c:pt idx="137">
                  <c:v>1.4197435000000039E-2</c:v>
                </c:pt>
                <c:pt idx="138">
                  <c:v>1.3778716000000024E-2</c:v>
                </c:pt>
                <c:pt idx="139">
                  <c:v>1.3478066000000011E-2</c:v>
                </c:pt>
                <c:pt idx="140">
                  <c:v>1.3307409000000053E-2</c:v>
                </c:pt>
                <c:pt idx="141">
                  <c:v>1.365183799999992E-2</c:v>
                </c:pt>
                <c:pt idx="142">
                  <c:v>1.3175133000000061E-2</c:v>
                </c:pt>
                <c:pt idx="143">
                  <c:v>1.2740235000000101E-2</c:v>
                </c:pt>
                <c:pt idx="144">
                  <c:v>1.263268399999995E-2</c:v>
                </c:pt>
                <c:pt idx="145">
                  <c:v>1.3284848000000075E-2</c:v>
                </c:pt>
              </c:numCache>
            </c:numRef>
          </c:val>
        </c:ser>
        <c:ser>
          <c:idx val="3"/>
          <c:order val="1"/>
          <c:tx>
            <c:v>Capital Gains</c:v>
          </c:tx>
          <c:spPr>
            <a:ln w="15875">
              <a:solidFill>
                <a:schemeClr val="tx1"/>
              </a:solidFill>
            </a:ln>
          </c:spPr>
          <c:marker>
            <c:symbol val="none"/>
          </c:marker>
          <c:cat>
            <c:numRef>
              <c:f>Figures!$A$296:$A$441</c:f>
              <c:numCache>
                <c:formatCode>General</c:formatCode>
                <c:ptCount val="146"/>
                <c:pt idx="0">
                  <c:v>19781</c:v>
                </c:pt>
                <c:pt idx="1">
                  <c:v>19782</c:v>
                </c:pt>
                <c:pt idx="2">
                  <c:v>19783</c:v>
                </c:pt>
                <c:pt idx="3">
                  <c:v>19784</c:v>
                </c:pt>
                <c:pt idx="4">
                  <c:v>19791</c:v>
                </c:pt>
                <c:pt idx="5">
                  <c:v>19792</c:v>
                </c:pt>
                <c:pt idx="6">
                  <c:v>19793</c:v>
                </c:pt>
                <c:pt idx="7">
                  <c:v>19794</c:v>
                </c:pt>
                <c:pt idx="8">
                  <c:v>19801</c:v>
                </c:pt>
                <c:pt idx="9">
                  <c:v>19802</c:v>
                </c:pt>
                <c:pt idx="10">
                  <c:v>19803</c:v>
                </c:pt>
                <c:pt idx="11">
                  <c:v>19804</c:v>
                </c:pt>
                <c:pt idx="12">
                  <c:v>19811</c:v>
                </c:pt>
                <c:pt idx="13">
                  <c:v>19812</c:v>
                </c:pt>
                <c:pt idx="14">
                  <c:v>19813</c:v>
                </c:pt>
                <c:pt idx="15">
                  <c:v>19814</c:v>
                </c:pt>
                <c:pt idx="16">
                  <c:v>19821</c:v>
                </c:pt>
                <c:pt idx="17">
                  <c:v>19822</c:v>
                </c:pt>
                <c:pt idx="18">
                  <c:v>19823</c:v>
                </c:pt>
                <c:pt idx="19">
                  <c:v>19824</c:v>
                </c:pt>
                <c:pt idx="20">
                  <c:v>19831</c:v>
                </c:pt>
                <c:pt idx="21">
                  <c:v>19832</c:v>
                </c:pt>
                <c:pt idx="22">
                  <c:v>19833</c:v>
                </c:pt>
                <c:pt idx="23">
                  <c:v>19834</c:v>
                </c:pt>
                <c:pt idx="24">
                  <c:v>19841</c:v>
                </c:pt>
                <c:pt idx="25">
                  <c:v>19842</c:v>
                </c:pt>
                <c:pt idx="26">
                  <c:v>19843</c:v>
                </c:pt>
                <c:pt idx="27">
                  <c:v>19844</c:v>
                </c:pt>
                <c:pt idx="28">
                  <c:v>19851</c:v>
                </c:pt>
                <c:pt idx="29">
                  <c:v>19852</c:v>
                </c:pt>
                <c:pt idx="30">
                  <c:v>19853</c:v>
                </c:pt>
                <c:pt idx="31">
                  <c:v>19854</c:v>
                </c:pt>
                <c:pt idx="32">
                  <c:v>19861</c:v>
                </c:pt>
                <c:pt idx="33">
                  <c:v>19862</c:v>
                </c:pt>
                <c:pt idx="34">
                  <c:v>19863</c:v>
                </c:pt>
                <c:pt idx="35">
                  <c:v>19864</c:v>
                </c:pt>
                <c:pt idx="36">
                  <c:v>19871</c:v>
                </c:pt>
                <c:pt idx="37">
                  <c:v>19872</c:v>
                </c:pt>
                <c:pt idx="38">
                  <c:v>19873</c:v>
                </c:pt>
                <c:pt idx="39">
                  <c:v>19874</c:v>
                </c:pt>
                <c:pt idx="40">
                  <c:v>19881</c:v>
                </c:pt>
                <c:pt idx="41">
                  <c:v>19882</c:v>
                </c:pt>
                <c:pt idx="42">
                  <c:v>19883</c:v>
                </c:pt>
                <c:pt idx="43">
                  <c:v>19884</c:v>
                </c:pt>
                <c:pt idx="44">
                  <c:v>19891</c:v>
                </c:pt>
                <c:pt idx="45">
                  <c:v>19892</c:v>
                </c:pt>
                <c:pt idx="46">
                  <c:v>19893</c:v>
                </c:pt>
                <c:pt idx="47">
                  <c:v>19894</c:v>
                </c:pt>
                <c:pt idx="48">
                  <c:v>19901</c:v>
                </c:pt>
                <c:pt idx="49">
                  <c:v>19902</c:v>
                </c:pt>
                <c:pt idx="50">
                  <c:v>19903</c:v>
                </c:pt>
                <c:pt idx="51">
                  <c:v>19904</c:v>
                </c:pt>
                <c:pt idx="52">
                  <c:v>19911</c:v>
                </c:pt>
                <c:pt idx="53">
                  <c:v>19912</c:v>
                </c:pt>
                <c:pt idx="54">
                  <c:v>19913</c:v>
                </c:pt>
                <c:pt idx="55">
                  <c:v>19914</c:v>
                </c:pt>
                <c:pt idx="56">
                  <c:v>19921</c:v>
                </c:pt>
                <c:pt idx="57">
                  <c:v>19922</c:v>
                </c:pt>
                <c:pt idx="58">
                  <c:v>19923</c:v>
                </c:pt>
                <c:pt idx="59">
                  <c:v>19924</c:v>
                </c:pt>
                <c:pt idx="60">
                  <c:v>19931</c:v>
                </c:pt>
                <c:pt idx="61">
                  <c:v>19932</c:v>
                </c:pt>
                <c:pt idx="62">
                  <c:v>19933</c:v>
                </c:pt>
                <c:pt idx="63">
                  <c:v>19934</c:v>
                </c:pt>
                <c:pt idx="64">
                  <c:v>19941</c:v>
                </c:pt>
                <c:pt idx="65">
                  <c:v>19942</c:v>
                </c:pt>
                <c:pt idx="66">
                  <c:v>19943</c:v>
                </c:pt>
                <c:pt idx="67">
                  <c:v>19944</c:v>
                </c:pt>
                <c:pt idx="68">
                  <c:v>19951</c:v>
                </c:pt>
                <c:pt idx="69">
                  <c:v>19952</c:v>
                </c:pt>
                <c:pt idx="70">
                  <c:v>19953</c:v>
                </c:pt>
                <c:pt idx="71">
                  <c:v>19954</c:v>
                </c:pt>
                <c:pt idx="72">
                  <c:v>19961</c:v>
                </c:pt>
                <c:pt idx="73">
                  <c:v>19962</c:v>
                </c:pt>
                <c:pt idx="74">
                  <c:v>19963</c:v>
                </c:pt>
                <c:pt idx="75">
                  <c:v>19964</c:v>
                </c:pt>
                <c:pt idx="76">
                  <c:v>19971</c:v>
                </c:pt>
                <c:pt idx="77">
                  <c:v>19972</c:v>
                </c:pt>
                <c:pt idx="78">
                  <c:v>19973</c:v>
                </c:pt>
                <c:pt idx="79">
                  <c:v>19974</c:v>
                </c:pt>
                <c:pt idx="80">
                  <c:v>19981</c:v>
                </c:pt>
                <c:pt idx="81">
                  <c:v>19982</c:v>
                </c:pt>
                <c:pt idx="82">
                  <c:v>19983</c:v>
                </c:pt>
                <c:pt idx="83">
                  <c:v>19984</c:v>
                </c:pt>
                <c:pt idx="84">
                  <c:v>19991</c:v>
                </c:pt>
                <c:pt idx="85">
                  <c:v>19992</c:v>
                </c:pt>
                <c:pt idx="86">
                  <c:v>19993</c:v>
                </c:pt>
                <c:pt idx="87">
                  <c:v>19994</c:v>
                </c:pt>
                <c:pt idx="88">
                  <c:v>20001</c:v>
                </c:pt>
                <c:pt idx="89">
                  <c:v>20002</c:v>
                </c:pt>
                <c:pt idx="90">
                  <c:v>20003</c:v>
                </c:pt>
                <c:pt idx="91">
                  <c:v>20004</c:v>
                </c:pt>
                <c:pt idx="92">
                  <c:v>20011</c:v>
                </c:pt>
                <c:pt idx="93">
                  <c:v>20012</c:v>
                </c:pt>
                <c:pt idx="94">
                  <c:v>20013</c:v>
                </c:pt>
                <c:pt idx="95">
                  <c:v>20014</c:v>
                </c:pt>
                <c:pt idx="96">
                  <c:v>20021</c:v>
                </c:pt>
                <c:pt idx="97">
                  <c:v>20022</c:v>
                </c:pt>
                <c:pt idx="98">
                  <c:v>20023</c:v>
                </c:pt>
                <c:pt idx="99">
                  <c:v>20024</c:v>
                </c:pt>
                <c:pt idx="100">
                  <c:v>20031</c:v>
                </c:pt>
                <c:pt idx="101">
                  <c:v>20032</c:v>
                </c:pt>
                <c:pt idx="102">
                  <c:v>20033</c:v>
                </c:pt>
                <c:pt idx="103">
                  <c:v>20034</c:v>
                </c:pt>
                <c:pt idx="104">
                  <c:v>20041</c:v>
                </c:pt>
                <c:pt idx="105">
                  <c:v>20042</c:v>
                </c:pt>
                <c:pt idx="106">
                  <c:v>20043</c:v>
                </c:pt>
                <c:pt idx="107">
                  <c:v>20044</c:v>
                </c:pt>
                <c:pt idx="108">
                  <c:v>20051</c:v>
                </c:pt>
                <c:pt idx="109">
                  <c:v>20052</c:v>
                </c:pt>
                <c:pt idx="110">
                  <c:v>20053</c:v>
                </c:pt>
                <c:pt idx="111">
                  <c:v>20054</c:v>
                </c:pt>
                <c:pt idx="112">
                  <c:v>20061</c:v>
                </c:pt>
                <c:pt idx="113">
                  <c:v>20062</c:v>
                </c:pt>
                <c:pt idx="114">
                  <c:v>20063</c:v>
                </c:pt>
                <c:pt idx="115">
                  <c:v>20064</c:v>
                </c:pt>
                <c:pt idx="116">
                  <c:v>20071</c:v>
                </c:pt>
                <c:pt idx="117">
                  <c:v>20072</c:v>
                </c:pt>
                <c:pt idx="118">
                  <c:v>20073</c:v>
                </c:pt>
                <c:pt idx="119">
                  <c:v>20074</c:v>
                </c:pt>
                <c:pt idx="120">
                  <c:v>20081</c:v>
                </c:pt>
                <c:pt idx="121">
                  <c:v>20082</c:v>
                </c:pt>
                <c:pt idx="122">
                  <c:v>20083</c:v>
                </c:pt>
                <c:pt idx="123">
                  <c:v>20084</c:v>
                </c:pt>
                <c:pt idx="124">
                  <c:v>20091</c:v>
                </c:pt>
                <c:pt idx="125">
                  <c:v>20092</c:v>
                </c:pt>
                <c:pt idx="126">
                  <c:v>20093</c:v>
                </c:pt>
                <c:pt idx="127">
                  <c:v>20094</c:v>
                </c:pt>
                <c:pt idx="128">
                  <c:v>20101</c:v>
                </c:pt>
                <c:pt idx="129">
                  <c:v>20102</c:v>
                </c:pt>
                <c:pt idx="130">
                  <c:v>20103</c:v>
                </c:pt>
                <c:pt idx="131">
                  <c:v>20104</c:v>
                </c:pt>
                <c:pt idx="132">
                  <c:v>20111</c:v>
                </c:pt>
                <c:pt idx="133">
                  <c:v>20112</c:v>
                </c:pt>
                <c:pt idx="134">
                  <c:v>20113</c:v>
                </c:pt>
                <c:pt idx="135">
                  <c:v>20114</c:v>
                </c:pt>
                <c:pt idx="136">
                  <c:v>20121</c:v>
                </c:pt>
                <c:pt idx="137">
                  <c:v>20122</c:v>
                </c:pt>
                <c:pt idx="138">
                  <c:v>20123</c:v>
                </c:pt>
                <c:pt idx="139">
                  <c:v>20124</c:v>
                </c:pt>
                <c:pt idx="140">
                  <c:v>20131</c:v>
                </c:pt>
                <c:pt idx="141">
                  <c:v>20132</c:v>
                </c:pt>
                <c:pt idx="142">
                  <c:v>20133</c:v>
                </c:pt>
                <c:pt idx="143">
                  <c:v>20134</c:v>
                </c:pt>
                <c:pt idx="144">
                  <c:v>20141</c:v>
                </c:pt>
                <c:pt idx="145">
                  <c:v>20142</c:v>
                </c:pt>
              </c:numCache>
            </c:numRef>
          </c:cat>
          <c:val>
            <c:numRef>
              <c:f>Figures!$BF$296:$BF$441</c:f>
              <c:numCache>
                <c:formatCode>0%</c:formatCode>
                <c:ptCount val="146"/>
                <c:pt idx="0">
                  <c:v>1.8483869999998965E-3</c:v>
                </c:pt>
                <c:pt idx="1">
                  <c:v>6.0289259999999354E-3</c:v>
                </c:pt>
                <c:pt idx="2">
                  <c:v>7.4328439999999975E-3</c:v>
                </c:pt>
                <c:pt idx="3">
                  <c:v>9.6407594000000013E-2</c:v>
                </c:pt>
                <c:pt idx="4">
                  <c:v>2.3330062999999953E-2</c:v>
                </c:pt>
                <c:pt idx="5">
                  <c:v>2.9965416000000022E-2</c:v>
                </c:pt>
                <c:pt idx="6">
                  <c:v>6.088145000000102E-3</c:v>
                </c:pt>
                <c:pt idx="7">
                  <c:v>4.4523899999999964E-2</c:v>
                </c:pt>
                <c:pt idx="8">
                  <c:v>8.6758191000000012E-2</c:v>
                </c:pt>
                <c:pt idx="9">
                  <c:v>7.1988800000000186E-3</c:v>
                </c:pt>
                <c:pt idx="10">
                  <c:v>1.8894098999999942E-2</c:v>
                </c:pt>
                <c:pt idx="11">
                  <c:v>5.2140808000000073E-2</c:v>
                </c:pt>
                <c:pt idx="12">
                  <c:v>1.9363492999999957E-2</c:v>
                </c:pt>
                <c:pt idx="13">
                  <c:v>3.5311845999999938E-2</c:v>
                </c:pt>
                <c:pt idx="14">
                  <c:v>1.003910400000008E-2</c:v>
                </c:pt>
                <c:pt idx="15">
                  <c:v>5.251169499999999E-2</c:v>
                </c:pt>
                <c:pt idx="16">
                  <c:v>1.1441395999999941E-2</c:v>
                </c:pt>
                <c:pt idx="17">
                  <c:v>-7.4500399999999399E-4</c:v>
                </c:pt>
                <c:pt idx="18">
                  <c:v>-1.4286340000000397E-3</c:v>
                </c:pt>
                <c:pt idx="19">
                  <c:v>1.3412772999999989E-2</c:v>
                </c:pt>
                <c:pt idx="20">
                  <c:v>-4.8151739999999794E-3</c:v>
                </c:pt>
                <c:pt idx="21">
                  <c:v>5.3487720000000589E-3</c:v>
                </c:pt>
                <c:pt idx="22">
                  <c:v>1.2071141000000059E-2</c:v>
                </c:pt>
                <c:pt idx="23">
                  <c:v>3.6034018999999931E-2</c:v>
                </c:pt>
                <c:pt idx="24">
                  <c:v>1.0067146999999995E-2</c:v>
                </c:pt>
                <c:pt idx="25">
                  <c:v>1.7402574999999983E-2</c:v>
                </c:pt>
                <c:pt idx="26">
                  <c:v>3.7389740000000082E-3</c:v>
                </c:pt>
                <c:pt idx="27">
                  <c:v>1.7675475000000114E-2</c:v>
                </c:pt>
                <c:pt idx="28">
                  <c:v>1.50486999999977E-4</c:v>
                </c:pt>
                <c:pt idx="29">
                  <c:v>2.4037750000001088E-3</c:v>
                </c:pt>
                <c:pt idx="30">
                  <c:v>5.5271960000000684E-3</c:v>
                </c:pt>
                <c:pt idx="31">
                  <c:v>7.4413559999999572E-3</c:v>
                </c:pt>
                <c:pt idx="32">
                  <c:v>4.8728319999999936E-3</c:v>
                </c:pt>
                <c:pt idx="33">
                  <c:v>-3.2038880000000445E-3</c:v>
                </c:pt>
                <c:pt idx="34">
                  <c:v>-5.9737690000000229E-3</c:v>
                </c:pt>
                <c:pt idx="35">
                  <c:v>-8.6565600000000388E-3</c:v>
                </c:pt>
                <c:pt idx="36">
                  <c:v>-2.8645720000000105E-3</c:v>
                </c:pt>
                <c:pt idx="37">
                  <c:v>-1.8927071999999996E-2</c:v>
                </c:pt>
                <c:pt idx="38">
                  <c:v>5.6289800000008938E-4</c:v>
                </c:pt>
                <c:pt idx="39">
                  <c:v>-8.3324070000000486E-3</c:v>
                </c:pt>
                <c:pt idx="40">
                  <c:v>-1.227458000000015E-3</c:v>
                </c:pt>
                <c:pt idx="41">
                  <c:v>-5.1162179999999502E-3</c:v>
                </c:pt>
                <c:pt idx="42">
                  <c:v>3.6508090000000335E-3</c:v>
                </c:pt>
                <c:pt idx="43">
                  <c:v>-3.6012429999999762E-3</c:v>
                </c:pt>
                <c:pt idx="44">
                  <c:v>-4.3553240000000493E-3</c:v>
                </c:pt>
                <c:pt idx="45">
                  <c:v>9.18130000000517E-5</c:v>
                </c:pt>
                <c:pt idx="46">
                  <c:v>-2.6183760000000346E-3</c:v>
                </c:pt>
                <c:pt idx="47">
                  <c:v>-1.457346000000004E-2</c:v>
                </c:pt>
                <c:pt idx="48">
                  <c:v>-3.965239000000011E-3</c:v>
                </c:pt>
                <c:pt idx="49">
                  <c:v>-7.2349729999999796E-3</c:v>
                </c:pt>
                <c:pt idx="50">
                  <c:v>-1.0644563000000055E-2</c:v>
                </c:pt>
                <c:pt idx="51">
                  <c:v>-4.9570796000000042E-2</c:v>
                </c:pt>
                <c:pt idx="52">
                  <c:v>-2.1529232999999988E-2</c:v>
                </c:pt>
                <c:pt idx="53">
                  <c:v>-2.8795955999999956E-2</c:v>
                </c:pt>
                <c:pt idx="54">
                  <c:v>-2.8665700000000016E-2</c:v>
                </c:pt>
                <c:pt idx="55">
                  <c:v>-0.10252414400000004</c:v>
                </c:pt>
                <c:pt idx="56">
                  <c:v>-1.8077028999999967E-2</c:v>
                </c:pt>
                <c:pt idx="57">
                  <c:v>-3.8684674999999946E-2</c:v>
                </c:pt>
                <c:pt idx="58">
                  <c:v>-2.8041383000000038E-2</c:v>
                </c:pt>
                <c:pt idx="59">
                  <c:v>-7.1994832000000009E-2</c:v>
                </c:pt>
                <c:pt idx="60">
                  <c:v>-1.6027339999999949E-2</c:v>
                </c:pt>
                <c:pt idx="61">
                  <c:v>-3.8478042000000059E-2</c:v>
                </c:pt>
                <c:pt idx="62">
                  <c:v>-1.5667623999999991E-2</c:v>
                </c:pt>
                <c:pt idx="63">
                  <c:v>-5.1536432999999993E-2</c:v>
                </c:pt>
                <c:pt idx="64">
                  <c:v>-1.2513197999999948E-2</c:v>
                </c:pt>
                <c:pt idx="65">
                  <c:v>-6.7475639999999863E-3</c:v>
                </c:pt>
                <c:pt idx="66">
                  <c:v>-1.9422891000000064E-2</c:v>
                </c:pt>
                <c:pt idx="67">
                  <c:v>-1.2650935000000033E-2</c:v>
                </c:pt>
                <c:pt idx="68">
                  <c:v>-4.4825579999999716E-3</c:v>
                </c:pt>
                <c:pt idx="69">
                  <c:v>-4.1659120000000485E-3</c:v>
                </c:pt>
                <c:pt idx="70">
                  <c:v>-1.3040130000000487E-3</c:v>
                </c:pt>
                <c:pt idx="71">
                  <c:v>-1.3089350999999971E-2</c:v>
                </c:pt>
                <c:pt idx="72">
                  <c:v>5.3033689999999493E-3</c:v>
                </c:pt>
                <c:pt idx="73">
                  <c:v>4.374027999999976E-3</c:v>
                </c:pt>
                <c:pt idx="74">
                  <c:v>4.0359359999999622E-3</c:v>
                </c:pt>
                <c:pt idx="75">
                  <c:v>2.8372553999999939E-2</c:v>
                </c:pt>
                <c:pt idx="76">
                  <c:v>8.0593940000000044E-3</c:v>
                </c:pt>
                <c:pt idx="77">
                  <c:v>1.0550213999999999E-2</c:v>
                </c:pt>
                <c:pt idx="78">
                  <c:v>1.5815976000000065E-2</c:v>
                </c:pt>
                <c:pt idx="79">
                  <c:v>4.3025407000000022E-2</c:v>
                </c:pt>
                <c:pt idx="80">
                  <c:v>3.2937336000000053E-2</c:v>
                </c:pt>
                <c:pt idx="81">
                  <c:v>2.7787645999999954E-2</c:v>
                </c:pt>
                <c:pt idx="82">
                  <c:v>1.6987759000000054E-2</c:v>
                </c:pt>
                <c:pt idx="83">
                  <c:v>2.1453551000000008E-2</c:v>
                </c:pt>
                <c:pt idx="84">
                  <c:v>8.3789420000000038E-3</c:v>
                </c:pt>
                <c:pt idx="85">
                  <c:v>7.6677709999999344E-3</c:v>
                </c:pt>
                <c:pt idx="86">
                  <c:v>1.2046175999999912E-2</c:v>
                </c:pt>
                <c:pt idx="87">
                  <c:v>1.0476090000000046E-2</c:v>
                </c:pt>
                <c:pt idx="88">
                  <c:v>7.3115800000000952E-3</c:v>
                </c:pt>
                <c:pt idx="89">
                  <c:v>1.3580799999999952E-2</c:v>
                </c:pt>
                <c:pt idx="90">
                  <c:v>1.2003326999999949E-2</c:v>
                </c:pt>
                <c:pt idx="91">
                  <c:v>1.8832868000000065E-2</c:v>
                </c:pt>
                <c:pt idx="92">
                  <c:v>2.1996419999998898E-3</c:v>
                </c:pt>
                <c:pt idx="93">
                  <c:v>1.3473150000000715E-3</c:v>
                </c:pt>
                <c:pt idx="94">
                  <c:v>-6.7316419999999856E-3</c:v>
                </c:pt>
                <c:pt idx="95">
                  <c:v>-2.1315709000000013E-2</c:v>
                </c:pt>
                <c:pt idx="96">
                  <c:v>-1.1997064000000003E-2</c:v>
                </c:pt>
                <c:pt idx="97">
                  <c:v>-1.3921909999999985E-2</c:v>
                </c:pt>
                <c:pt idx="98">
                  <c:v>-1.3188763000000049E-2</c:v>
                </c:pt>
                <c:pt idx="99">
                  <c:v>-1.822927299999999E-2</c:v>
                </c:pt>
                <c:pt idx="100">
                  <c:v>-8.3392410000000528E-3</c:v>
                </c:pt>
                <c:pt idx="101">
                  <c:v>-6.5125980000000378E-3</c:v>
                </c:pt>
                <c:pt idx="102">
                  <c:v>-7.1047090000000424E-3</c:v>
                </c:pt>
                <c:pt idx="103">
                  <c:v>-3.249532999999972E-3</c:v>
                </c:pt>
                <c:pt idx="104">
                  <c:v>3.1943400000000745E-3</c:v>
                </c:pt>
                <c:pt idx="105">
                  <c:v>4.1872640000000265E-3</c:v>
                </c:pt>
                <c:pt idx="106">
                  <c:v>1.30388560000001E-2</c:v>
                </c:pt>
                <c:pt idx="107">
                  <c:v>1.9348131000000109E-2</c:v>
                </c:pt>
                <c:pt idx="108">
                  <c:v>1.4652777000000007E-2</c:v>
                </c:pt>
                <c:pt idx="109">
                  <c:v>3.0568530999999885E-2</c:v>
                </c:pt>
                <c:pt idx="110">
                  <c:v>3.4239176000000052E-2</c:v>
                </c:pt>
                <c:pt idx="111">
                  <c:v>3.5237839999999979E-2</c:v>
                </c:pt>
                <c:pt idx="112">
                  <c:v>2.3622425999999967E-2</c:v>
                </c:pt>
                <c:pt idx="113">
                  <c:v>2.5493203999999998E-2</c:v>
                </c:pt>
                <c:pt idx="114">
                  <c:v>2.5302066999999932E-2</c:v>
                </c:pt>
                <c:pt idx="115">
                  <c:v>4.3124168000000053E-2</c:v>
                </c:pt>
                <c:pt idx="116">
                  <c:v>3.1722119999999972E-2</c:v>
                </c:pt>
                <c:pt idx="117">
                  <c:v>4.5345471999999956E-2</c:v>
                </c:pt>
                <c:pt idx="118">
                  <c:v>3.4882764000000011E-2</c:v>
                </c:pt>
                <c:pt idx="119">
                  <c:v>2.5148463999999926E-2</c:v>
                </c:pt>
                <c:pt idx="120">
                  <c:v>7.3152759999999279E-3</c:v>
                </c:pt>
                <c:pt idx="121">
                  <c:v>-7.0514809999999714E-3</c:v>
                </c:pt>
                <c:pt idx="122">
                  <c:v>-1.4850016999999988E-2</c:v>
                </c:pt>
                <c:pt idx="123">
                  <c:v>-0.10461493300000002</c:v>
                </c:pt>
                <c:pt idx="124">
                  <c:v>-9.353622500000007E-2</c:v>
                </c:pt>
                <c:pt idx="125">
                  <c:v>-8.0845198000000035E-2</c:v>
                </c:pt>
                <c:pt idx="126">
                  <c:v>-4.9306568000000016E-2</c:v>
                </c:pt>
                <c:pt idx="127">
                  <c:v>-4.3846845999999981E-2</c:v>
                </c:pt>
                <c:pt idx="128">
                  <c:v>-8.693810000000024E-3</c:v>
                </c:pt>
                <c:pt idx="129">
                  <c:v>1.5917713999999972E-2</c:v>
                </c:pt>
                <c:pt idx="130">
                  <c:v>1.472306299999992E-2</c:v>
                </c:pt>
                <c:pt idx="131">
                  <c:v>2.3473923000000074E-2</c:v>
                </c:pt>
                <c:pt idx="132">
                  <c:v>1.6596840000000061E-2</c:v>
                </c:pt>
                <c:pt idx="133">
                  <c:v>2.9114805999999941E-2</c:v>
                </c:pt>
                <c:pt idx="134">
                  <c:v>1.5276311000000042E-2</c:v>
                </c:pt>
                <c:pt idx="135">
                  <c:v>1.1209186999999957E-2</c:v>
                </c:pt>
                <c:pt idx="136">
                  <c:v>9.3196689999999246E-3</c:v>
                </c:pt>
                <c:pt idx="137">
                  <c:v>9.2143060000000627E-3</c:v>
                </c:pt>
                <c:pt idx="138">
                  <c:v>9.4130200000000011E-3</c:v>
                </c:pt>
                <c:pt idx="139">
                  <c:v>8.187208999999921E-3</c:v>
                </c:pt>
                <c:pt idx="140">
                  <c:v>5.8963979999999711E-3</c:v>
                </c:pt>
                <c:pt idx="141">
                  <c:v>1.4777105999999929E-2</c:v>
                </c:pt>
                <c:pt idx="142">
                  <c:v>1.0991304999999897E-2</c:v>
                </c:pt>
                <c:pt idx="143">
                  <c:v>1.0640253000000047E-2</c:v>
                </c:pt>
                <c:pt idx="144">
                  <c:v>9.7143150000000809E-3</c:v>
                </c:pt>
                <c:pt idx="145">
                  <c:v>1.6032220000000041E-2</c:v>
                </c:pt>
              </c:numCache>
            </c:numRef>
          </c:val>
        </c:ser>
        <c:marker val="1"/>
        <c:axId val="114756608"/>
        <c:axId val="114770688"/>
      </c:lineChart>
      <c:catAx>
        <c:axId val="114756608"/>
        <c:scaling>
          <c:orientation val="minMax"/>
        </c:scaling>
        <c:axPos val="b"/>
        <c:numFmt formatCode="General" sourceLinked="1"/>
        <c:tickLblPos val="nextTo"/>
        <c:crossAx val="114770688"/>
        <c:crosses val="autoZero"/>
        <c:auto val="1"/>
        <c:lblAlgn val="ctr"/>
        <c:lblOffset val="100"/>
      </c:catAx>
      <c:valAx>
        <c:axId val="114770688"/>
        <c:scaling>
          <c:orientation val="minMax"/>
        </c:scaling>
        <c:axPos val="l"/>
        <c:majorGridlines/>
        <c:title>
          <c:tx>
            <c:rich>
              <a:bodyPr rot="-5400000" vert="horz"/>
              <a:lstStyle/>
              <a:p>
                <a:pPr>
                  <a:defRPr/>
                </a:pPr>
                <a:r>
                  <a:rPr lang="en-US"/>
                  <a:t>Returns</a:t>
                </a:r>
              </a:p>
            </c:rich>
          </c:tx>
        </c:title>
        <c:numFmt formatCode="0%" sourceLinked="1"/>
        <c:tickLblPos val="nextTo"/>
        <c:crossAx val="114756608"/>
        <c:crosses val="autoZero"/>
        <c:crossBetween val="between"/>
      </c:valAx>
      <c:valAx>
        <c:axId val="114772608"/>
        <c:scaling>
          <c:orientation val="minMax"/>
          <c:max val="0.2"/>
        </c:scaling>
        <c:axPos val="r"/>
        <c:title>
          <c:tx>
            <c:rich>
              <a:bodyPr rot="-5400000" vert="horz"/>
              <a:lstStyle/>
              <a:p>
                <a:pPr>
                  <a:defRPr/>
                </a:pPr>
                <a:r>
                  <a:rPr lang="en-US"/>
                  <a:t>Volume</a:t>
                </a:r>
              </a:p>
            </c:rich>
          </c:tx>
        </c:title>
        <c:numFmt formatCode="General" sourceLinked="1"/>
        <c:tickLblPos val="nextTo"/>
        <c:crossAx val="114774784"/>
        <c:crosses val="max"/>
        <c:crossBetween val="between"/>
      </c:valAx>
      <c:catAx>
        <c:axId val="114774784"/>
        <c:scaling>
          <c:orientation val="minMax"/>
        </c:scaling>
        <c:delete val="1"/>
        <c:axPos val="b"/>
        <c:numFmt formatCode="General" sourceLinked="1"/>
        <c:tickLblPos val="none"/>
        <c:crossAx val="114772608"/>
        <c:crosses val="autoZero"/>
        <c:auto val="1"/>
        <c:lblAlgn val="ctr"/>
        <c:lblOffset val="100"/>
      </c:catAx>
    </c:plotArea>
    <c:legend>
      <c:legendPos val="b"/>
    </c:legend>
    <c:plotVisOnly val="1"/>
    <c:dispBlanksAs val="gap"/>
  </c:chart>
  <c:spPr>
    <a:ln>
      <a:noFill/>
    </a:ln>
  </c:spPr>
  <c:txPr>
    <a:bodyPr/>
    <a:lstStyle/>
    <a:p>
      <a:pPr>
        <a:defRPr sz="1000">
          <a:latin typeface="Times New Roman" panose="02020603050405020304" pitchFamily="18" charset="0"/>
          <a:cs typeface="Times New Roman" panose="02020603050405020304" pitchFamily="18" charset="0"/>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US"/>
  <c:chart>
    <c:autoTitleDeleted val="1"/>
    <c:plotArea>
      <c:layout/>
      <c:lineChart>
        <c:grouping val="standard"/>
        <c:ser>
          <c:idx val="1"/>
          <c:order val="1"/>
          <c:tx>
            <c:v>CRE Tightening</c:v>
          </c:tx>
          <c:spPr>
            <a:ln w="15875">
              <a:solidFill>
                <a:srgbClr val="FF0000"/>
              </a:solidFill>
            </a:ln>
          </c:spPr>
          <c:marker>
            <c:symbol val="none"/>
          </c:marker>
          <c:cat>
            <c:numRef>
              <c:f>Figures!$A$52:$A$147</c:f>
              <c:numCache>
                <c:formatCode>General</c:formatCode>
                <c:ptCount val="96"/>
                <c:pt idx="0">
                  <c:v>19903</c:v>
                </c:pt>
                <c:pt idx="1">
                  <c:v>19904</c:v>
                </c:pt>
                <c:pt idx="2">
                  <c:v>19911</c:v>
                </c:pt>
                <c:pt idx="3">
                  <c:v>19912</c:v>
                </c:pt>
                <c:pt idx="4">
                  <c:v>19913</c:v>
                </c:pt>
                <c:pt idx="5">
                  <c:v>19914</c:v>
                </c:pt>
                <c:pt idx="6">
                  <c:v>19921</c:v>
                </c:pt>
                <c:pt idx="7">
                  <c:v>19922</c:v>
                </c:pt>
                <c:pt idx="8">
                  <c:v>19923</c:v>
                </c:pt>
                <c:pt idx="9">
                  <c:v>19924</c:v>
                </c:pt>
                <c:pt idx="10">
                  <c:v>19931</c:v>
                </c:pt>
                <c:pt idx="11">
                  <c:v>19932</c:v>
                </c:pt>
                <c:pt idx="12">
                  <c:v>19933</c:v>
                </c:pt>
                <c:pt idx="13">
                  <c:v>19934</c:v>
                </c:pt>
                <c:pt idx="14">
                  <c:v>19941</c:v>
                </c:pt>
                <c:pt idx="15">
                  <c:v>19942</c:v>
                </c:pt>
                <c:pt idx="16">
                  <c:v>19943</c:v>
                </c:pt>
                <c:pt idx="17">
                  <c:v>19944</c:v>
                </c:pt>
                <c:pt idx="18">
                  <c:v>19951</c:v>
                </c:pt>
                <c:pt idx="19">
                  <c:v>19952</c:v>
                </c:pt>
                <c:pt idx="20">
                  <c:v>19953</c:v>
                </c:pt>
                <c:pt idx="21">
                  <c:v>19954</c:v>
                </c:pt>
                <c:pt idx="22">
                  <c:v>19961</c:v>
                </c:pt>
                <c:pt idx="23">
                  <c:v>19962</c:v>
                </c:pt>
                <c:pt idx="24">
                  <c:v>19963</c:v>
                </c:pt>
                <c:pt idx="25">
                  <c:v>19964</c:v>
                </c:pt>
                <c:pt idx="26">
                  <c:v>19971</c:v>
                </c:pt>
                <c:pt idx="27">
                  <c:v>19972</c:v>
                </c:pt>
                <c:pt idx="28">
                  <c:v>19973</c:v>
                </c:pt>
                <c:pt idx="29">
                  <c:v>19974</c:v>
                </c:pt>
                <c:pt idx="30">
                  <c:v>19981</c:v>
                </c:pt>
                <c:pt idx="31">
                  <c:v>19982</c:v>
                </c:pt>
                <c:pt idx="32">
                  <c:v>19983</c:v>
                </c:pt>
                <c:pt idx="33">
                  <c:v>19984</c:v>
                </c:pt>
                <c:pt idx="34">
                  <c:v>19991</c:v>
                </c:pt>
                <c:pt idx="35">
                  <c:v>19992</c:v>
                </c:pt>
                <c:pt idx="36">
                  <c:v>19993</c:v>
                </c:pt>
                <c:pt idx="37">
                  <c:v>19994</c:v>
                </c:pt>
                <c:pt idx="38">
                  <c:v>20001</c:v>
                </c:pt>
                <c:pt idx="39">
                  <c:v>20002</c:v>
                </c:pt>
                <c:pt idx="40">
                  <c:v>20003</c:v>
                </c:pt>
                <c:pt idx="41">
                  <c:v>20004</c:v>
                </c:pt>
                <c:pt idx="42">
                  <c:v>20011</c:v>
                </c:pt>
                <c:pt idx="43">
                  <c:v>20012</c:v>
                </c:pt>
                <c:pt idx="44">
                  <c:v>20013</c:v>
                </c:pt>
                <c:pt idx="45">
                  <c:v>20014</c:v>
                </c:pt>
                <c:pt idx="46">
                  <c:v>20021</c:v>
                </c:pt>
                <c:pt idx="47">
                  <c:v>20022</c:v>
                </c:pt>
                <c:pt idx="48">
                  <c:v>20023</c:v>
                </c:pt>
                <c:pt idx="49">
                  <c:v>20024</c:v>
                </c:pt>
                <c:pt idx="50">
                  <c:v>20031</c:v>
                </c:pt>
                <c:pt idx="51">
                  <c:v>20032</c:v>
                </c:pt>
                <c:pt idx="52">
                  <c:v>20033</c:v>
                </c:pt>
                <c:pt idx="53">
                  <c:v>20034</c:v>
                </c:pt>
                <c:pt idx="54">
                  <c:v>20041</c:v>
                </c:pt>
                <c:pt idx="55">
                  <c:v>20042</c:v>
                </c:pt>
                <c:pt idx="56">
                  <c:v>20043</c:v>
                </c:pt>
                <c:pt idx="57">
                  <c:v>20044</c:v>
                </c:pt>
                <c:pt idx="58">
                  <c:v>20051</c:v>
                </c:pt>
                <c:pt idx="59">
                  <c:v>20052</c:v>
                </c:pt>
                <c:pt idx="60">
                  <c:v>20053</c:v>
                </c:pt>
                <c:pt idx="61">
                  <c:v>20054</c:v>
                </c:pt>
                <c:pt idx="62">
                  <c:v>20061</c:v>
                </c:pt>
                <c:pt idx="63">
                  <c:v>20062</c:v>
                </c:pt>
                <c:pt idx="64">
                  <c:v>20063</c:v>
                </c:pt>
                <c:pt idx="65">
                  <c:v>20064</c:v>
                </c:pt>
                <c:pt idx="66">
                  <c:v>20071</c:v>
                </c:pt>
                <c:pt idx="67">
                  <c:v>20072</c:v>
                </c:pt>
                <c:pt idx="68">
                  <c:v>20073</c:v>
                </c:pt>
                <c:pt idx="69">
                  <c:v>20074</c:v>
                </c:pt>
                <c:pt idx="70">
                  <c:v>20081</c:v>
                </c:pt>
                <c:pt idx="71">
                  <c:v>20082</c:v>
                </c:pt>
                <c:pt idx="72">
                  <c:v>20083</c:v>
                </c:pt>
                <c:pt idx="73">
                  <c:v>20084</c:v>
                </c:pt>
                <c:pt idx="74">
                  <c:v>20091</c:v>
                </c:pt>
                <c:pt idx="75">
                  <c:v>20092</c:v>
                </c:pt>
                <c:pt idx="76">
                  <c:v>20093</c:v>
                </c:pt>
                <c:pt idx="77">
                  <c:v>20094</c:v>
                </c:pt>
                <c:pt idx="78">
                  <c:v>20101</c:v>
                </c:pt>
                <c:pt idx="79">
                  <c:v>20102</c:v>
                </c:pt>
                <c:pt idx="80">
                  <c:v>20103</c:v>
                </c:pt>
                <c:pt idx="81">
                  <c:v>20104</c:v>
                </c:pt>
                <c:pt idx="82">
                  <c:v>20111</c:v>
                </c:pt>
                <c:pt idx="83">
                  <c:v>20112</c:v>
                </c:pt>
                <c:pt idx="84">
                  <c:v>20113</c:v>
                </c:pt>
                <c:pt idx="85">
                  <c:v>20114</c:v>
                </c:pt>
                <c:pt idx="86">
                  <c:v>20121</c:v>
                </c:pt>
                <c:pt idx="87">
                  <c:v>20122</c:v>
                </c:pt>
                <c:pt idx="88">
                  <c:v>20123</c:v>
                </c:pt>
                <c:pt idx="89">
                  <c:v>20124</c:v>
                </c:pt>
                <c:pt idx="90">
                  <c:v>20131</c:v>
                </c:pt>
                <c:pt idx="91">
                  <c:v>20132</c:v>
                </c:pt>
                <c:pt idx="92">
                  <c:v>20133</c:v>
                </c:pt>
                <c:pt idx="93">
                  <c:v>20134</c:v>
                </c:pt>
                <c:pt idx="94">
                  <c:v>20141</c:v>
                </c:pt>
                <c:pt idx="95">
                  <c:v>20142</c:v>
                </c:pt>
              </c:numCache>
            </c:numRef>
          </c:cat>
          <c:val>
            <c:numRef>
              <c:f>Figures!$AQ$52:$AQ$147</c:f>
              <c:numCache>
                <c:formatCode>General</c:formatCode>
                <c:ptCount val="96"/>
                <c:pt idx="0">
                  <c:v>69.400000000000006</c:v>
                </c:pt>
                <c:pt idx="1">
                  <c:v>61.7</c:v>
                </c:pt>
                <c:pt idx="2">
                  <c:v>46.4</c:v>
                </c:pt>
                <c:pt idx="3">
                  <c:v>25.8</c:v>
                </c:pt>
                <c:pt idx="4">
                  <c:v>27.1</c:v>
                </c:pt>
                <c:pt idx="5">
                  <c:v>14.9</c:v>
                </c:pt>
                <c:pt idx="6">
                  <c:v>7.1</c:v>
                </c:pt>
                <c:pt idx="7">
                  <c:v>10.1</c:v>
                </c:pt>
                <c:pt idx="8">
                  <c:v>4.4000000000000004</c:v>
                </c:pt>
                <c:pt idx="9">
                  <c:v>3.5</c:v>
                </c:pt>
                <c:pt idx="10">
                  <c:v>2.2000000000000002</c:v>
                </c:pt>
                <c:pt idx="11">
                  <c:v>2.2000000000000002</c:v>
                </c:pt>
                <c:pt idx="12">
                  <c:v>-0.9</c:v>
                </c:pt>
                <c:pt idx="13">
                  <c:v>-3.9</c:v>
                </c:pt>
                <c:pt idx="14">
                  <c:v>-4.7</c:v>
                </c:pt>
                <c:pt idx="15">
                  <c:v>-7.1</c:v>
                </c:pt>
                <c:pt idx="16">
                  <c:v>-3.1</c:v>
                </c:pt>
                <c:pt idx="17">
                  <c:v>-3.1</c:v>
                </c:pt>
                <c:pt idx="18">
                  <c:v>0.5</c:v>
                </c:pt>
                <c:pt idx="19">
                  <c:v>-0.4</c:v>
                </c:pt>
                <c:pt idx="20">
                  <c:v>3</c:v>
                </c:pt>
                <c:pt idx="21">
                  <c:v>6.1</c:v>
                </c:pt>
                <c:pt idx="22">
                  <c:v>13.3</c:v>
                </c:pt>
                <c:pt idx="23">
                  <c:v>10.9</c:v>
                </c:pt>
                <c:pt idx="24">
                  <c:v>5.7</c:v>
                </c:pt>
                <c:pt idx="25">
                  <c:v>-1.7</c:v>
                </c:pt>
                <c:pt idx="26">
                  <c:v>-1.8</c:v>
                </c:pt>
                <c:pt idx="27">
                  <c:v>-5.2</c:v>
                </c:pt>
                <c:pt idx="28">
                  <c:v>-11.4</c:v>
                </c:pt>
                <c:pt idx="29">
                  <c:v>-8.8000000000000007</c:v>
                </c:pt>
                <c:pt idx="30">
                  <c:v>-7.2</c:v>
                </c:pt>
                <c:pt idx="31">
                  <c:v>-7.2</c:v>
                </c:pt>
                <c:pt idx="32">
                  <c:v>0</c:v>
                </c:pt>
                <c:pt idx="33">
                  <c:v>46.4</c:v>
                </c:pt>
                <c:pt idx="34">
                  <c:v>14.8</c:v>
                </c:pt>
                <c:pt idx="35">
                  <c:v>5.0999999999999996</c:v>
                </c:pt>
                <c:pt idx="36">
                  <c:v>8.9</c:v>
                </c:pt>
                <c:pt idx="37">
                  <c:v>9.1</c:v>
                </c:pt>
                <c:pt idx="38">
                  <c:v>10.9</c:v>
                </c:pt>
                <c:pt idx="39">
                  <c:v>21.4</c:v>
                </c:pt>
                <c:pt idx="40">
                  <c:v>32.1</c:v>
                </c:pt>
                <c:pt idx="41">
                  <c:v>26.3</c:v>
                </c:pt>
                <c:pt idx="42">
                  <c:v>44.6</c:v>
                </c:pt>
                <c:pt idx="43">
                  <c:v>41.8</c:v>
                </c:pt>
                <c:pt idx="44">
                  <c:v>42.6</c:v>
                </c:pt>
                <c:pt idx="45">
                  <c:v>44.7</c:v>
                </c:pt>
                <c:pt idx="46">
                  <c:v>46.3</c:v>
                </c:pt>
                <c:pt idx="47">
                  <c:v>30.9</c:v>
                </c:pt>
                <c:pt idx="48">
                  <c:v>25.5</c:v>
                </c:pt>
                <c:pt idx="49">
                  <c:v>22.2</c:v>
                </c:pt>
                <c:pt idx="50">
                  <c:v>13.6</c:v>
                </c:pt>
                <c:pt idx="51">
                  <c:v>17.8</c:v>
                </c:pt>
                <c:pt idx="52">
                  <c:v>13.8</c:v>
                </c:pt>
                <c:pt idx="53">
                  <c:v>0</c:v>
                </c:pt>
                <c:pt idx="54">
                  <c:v>-5.5</c:v>
                </c:pt>
                <c:pt idx="55">
                  <c:v>-10.7</c:v>
                </c:pt>
                <c:pt idx="56">
                  <c:v>-8.9</c:v>
                </c:pt>
                <c:pt idx="57">
                  <c:v>-17.5</c:v>
                </c:pt>
                <c:pt idx="58">
                  <c:v>-23.7</c:v>
                </c:pt>
                <c:pt idx="59">
                  <c:v>-22.2</c:v>
                </c:pt>
                <c:pt idx="60">
                  <c:v>-12.9</c:v>
                </c:pt>
                <c:pt idx="61">
                  <c:v>-5.2</c:v>
                </c:pt>
                <c:pt idx="62">
                  <c:v>1.8</c:v>
                </c:pt>
                <c:pt idx="63">
                  <c:v>1.8</c:v>
                </c:pt>
                <c:pt idx="64">
                  <c:v>10.7</c:v>
                </c:pt>
                <c:pt idx="65">
                  <c:v>36.300000000000004</c:v>
                </c:pt>
                <c:pt idx="66">
                  <c:v>26.3</c:v>
                </c:pt>
                <c:pt idx="67">
                  <c:v>30.2</c:v>
                </c:pt>
                <c:pt idx="68">
                  <c:v>25</c:v>
                </c:pt>
                <c:pt idx="69">
                  <c:v>50</c:v>
                </c:pt>
                <c:pt idx="70">
                  <c:v>80.3</c:v>
                </c:pt>
                <c:pt idx="71">
                  <c:v>78.599999999999994</c:v>
                </c:pt>
                <c:pt idx="72">
                  <c:v>80.7</c:v>
                </c:pt>
                <c:pt idx="73">
                  <c:v>87</c:v>
                </c:pt>
                <c:pt idx="74">
                  <c:v>79.2</c:v>
                </c:pt>
                <c:pt idx="75">
                  <c:v>66</c:v>
                </c:pt>
                <c:pt idx="76">
                  <c:v>46.3</c:v>
                </c:pt>
                <c:pt idx="77">
                  <c:v>33.9</c:v>
                </c:pt>
                <c:pt idx="78">
                  <c:v>27.3</c:v>
                </c:pt>
                <c:pt idx="79">
                  <c:v>12.5</c:v>
                </c:pt>
                <c:pt idx="80">
                  <c:v>5.3</c:v>
                </c:pt>
                <c:pt idx="81">
                  <c:v>3.6</c:v>
                </c:pt>
                <c:pt idx="82">
                  <c:v>0</c:v>
                </c:pt>
                <c:pt idx="83">
                  <c:v>-5.5</c:v>
                </c:pt>
                <c:pt idx="84">
                  <c:v>-5.5</c:v>
                </c:pt>
                <c:pt idx="85">
                  <c:v>-2</c:v>
                </c:pt>
                <c:pt idx="86">
                  <c:v>-1.8</c:v>
                </c:pt>
                <c:pt idx="87">
                  <c:v>-13.8</c:v>
                </c:pt>
                <c:pt idx="88">
                  <c:v>-10.9</c:v>
                </c:pt>
                <c:pt idx="89">
                  <c:v>-8.8000000000000007</c:v>
                </c:pt>
                <c:pt idx="90">
                  <c:v>-13.4</c:v>
                </c:pt>
                <c:pt idx="91">
                  <c:v>-20.9</c:v>
                </c:pt>
                <c:pt idx="92">
                  <c:v>-19.2</c:v>
                </c:pt>
                <c:pt idx="93">
                  <c:v>-6.8</c:v>
                </c:pt>
                <c:pt idx="94">
                  <c:v>-6.7</c:v>
                </c:pt>
                <c:pt idx="95">
                  <c:v>-8.2000000000000011</c:v>
                </c:pt>
              </c:numCache>
            </c:numRef>
          </c:val>
        </c:ser>
        <c:marker val="1"/>
        <c:axId val="114794880"/>
        <c:axId val="114796416"/>
      </c:lineChart>
      <c:lineChart>
        <c:grouping val="standard"/>
        <c:ser>
          <c:idx val="0"/>
          <c:order val="0"/>
          <c:tx>
            <c:v>Capital Gains [inverted]</c:v>
          </c:tx>
          <c:spPr>
            <a:ln w="15875">
              <a:solidFill>
                <a:schemeClr val="tx1"/>
              </a:solidFill>
            </a:ln>
          </c:spPr>
          <c:marker>
            <c:symbol val="none"/>
          </c:marker>
          <c:cat>
            <c:numRef>
              <c:f>Figures!$A$52:$A$147</c:f>
              <c:numCache>
                <c:formatCode>General</c:formatCode>
                <c:ptCount val="96"/>
                <c:pt idx="0">
                  <c:v>19903</c:v>
                </c:pt>
                <c:pt idx="1">
                  <c:v>19904</c:v>
                </c:pt>
                <c:pt idx="2">
                  <c:v>19911</c:v>
                </c:pt>
                <c:pt idx="3">
                  <c:v>19912</c:v>
                </c:pt>
                <c:pt idx="4">
                  <c:v>19913</c:v>
                </c:pt>
                <c:pt idx="5">
                  <c:v>19914</c:v>
                </c:pt>
                <c:pt idx="6">
                  <c:v>19921</c:v>
                </c:pt>
                <c:pt idx="7">
                  <c:v>19922</c:v>
                </c:pt>
                <c:pt idx="8">
                  <c:v>19923</c:v>
                </c:pt>
                <c:pt idx="9">
                  <c:v>19924</c:v>
                </c:pt>
                <c:pt idx="10">
                  <c:v>19931</c:v>
                </c:pt>
                <c:pt idx="11">
                  <c:v>19932</c:v>
                </c:pt>
                <c:pt idx="12">
                  <c:v>19933</c:v>
                </c:pt>
                <c:pt idx="13">
                  <c:v>19934</c:v>
                </c:pt>
                <c:pt idx="14">
                  <c:v>19941</c:v>
                </c:pt>
                <c:pt idx="15">
                  <c:v>19942</c:v>
                </c:pt>
                <c:pt idx="16">
                  <c:v>19943</c:v>
                </c:pt>
                <c:pt idx="17">
                  <c:v>19944</c:v>
                </c:pt>
                <c:pt idx="18">
                  <c:v>19951</c:v>
                </c:pt>
                <c:pt idx="19">
                  <c:v>19952</c:v>
                </c:pt>
                <c:pt idx="20">
                  <c:v>19953</c:v>
                </c:pt>
                <c:pt idx="21">
                  <c:v>19954</c:v>
                </c:pt>
                <c:pt idx="22">
                  <c:v>19961</c:v>
                </c:pt>
                <c:pt idx="23">
                  <c:v>19962</c:v>
                </c:pt>
                <c:pt idx="24">
                  <c:v>19963</c:v>
                </c:pt>
                <c:pt idx="25">
                  <c:v>19964</c:v>
                </c:pt>
                <c:pt idx="26">
                  <c:v>19971</c:v>
                </c:pt>
                <c:pt idx="27">
                  <c:v>19972</c:v>
                </c:pt>
                <c:pt idx="28">
                  <c:v>19973</c:v>
                </c:pt>
                <c:pt idx="29">
                  <c:v>19974</c:v>
                </c:pt>
                <c:pt idx="30">
                  <c:v>19981</c:v>
                </c:pt>
                <c:pt idx="31">
                  <c:v>19982</c:v>
                </c:pt>
                <c:pt idx="32">
                  <c:v>19983</c:v>
                </c:pt>
                <c:pt idx="33">
                  <c:v>19984</c:v>
                </c:pt>
                <c:pt idx="34">
                  <c:v>19991</c:v>
                </c:pt>
                <c:pt idx="35">
                  <c:v>19992</c:v>
                </c:pt>
                <c:pt idx="36">
                  <c:v>19993</c:v>
                </c:pt>
                <c:pt idx="37">
                  <c:v>19994</c:v>
                </c:pt>
                <c:pt idx="38">
                  <c:v>20001</c:v>
                </c:pt>
                <c:pt idx="39">
                  <c:v>20002</c:v>
                </c:pt>
                <c:pt idx="40">
                  <c:v>20003</c:v>
                </c:pt>
                <c:pt idx="41">
                  <c:v>20004</c:v>
                </c:pt>
                <c:pt idx="42">
                  <c:v>20011</c:v>
                </c:pt>
                <c:pt idx="43">
                  <c:v>20012</c:v>
                </c:pt>
                <c:pt idx="44">
                  <c:v>20013</c:v>
                </c:pt>
                <c:pt idx="45">
                  <c:v>20014</c:v>
                </c:pt>
                <c:pt idx="46">
                  <c:v>20021</c:v>
                </c:pt>
                <c:pt idx="47">
                  <c:v>20022</c:v>
                </c:pt>
                <c:pt idx="48">
                  <c:v>20023</c:v>
                </c:pt>
                <c:pt idx="49">
                  <c:v>20024</c:v>
                </c:pt>
                <c:pt idx="50">
                  <c:v>20031</c:v>
                </c:pt>
                <c:pt idx="51">
                  <c:v>20032</c:v>
                </c:pt>
                <c:pt idx="52">
                  <c:v>20033</c:v>
                </c:pt>
                <c:pt idx="53">
                  <c:v>20034</c:v>
                </c:pt>
                <c:pt idx="54">
                  <c:v>20041</c:v>
                </c:pt>
                <c:pt idx="55">
                  <c:v>20042</c:v>
                </c:pt>
                <c:pt idx="56">
                  <c:v>20043</c:v>
                </c:pt>
                <c:pt idx="57">
                  <c:v>20044</c:v>
                </c:pt>
                <c:pt idx="58">
                  <c:v>20051</c:v>
                </c:pt>
                <c:pt idx="59">
                  <c:v>20052</c:v>
                </c:pt>
                <c:pt idx="60">
                  <c:v>20053</c:v>
                </c:pt>
                <c:pt idx="61">
                  <c:v>20054</c:v>
                </c:pt>
                <c:pt idx="62">
                  <c:v>20061</c:v>
                </c:pt>
                <c:pt idx="63">
                  <c:v>20062</c:v>
                </c:pt>
                <c:pt idx="64">
                  <c:v>20063</c:v>
                </c:pt>
                <c:pt idx="65">
                  <c:v>20064</c:v>
                </c:pt>
                <c:pt idx="66">
                  <c:v>20071</c:v>
                </c:pt>
                <c:pt idx="67">
                  <c:v>20072</c:v>
                </c:pt>
                <c:pt idx="68">
                  <c:v>20073</c:v>
                </c:pt>
                <c:pt idx="69">
                  <c:v>20074</c:v>
                </c:pt>
                <c:pt idx="70">
                  <c:v>20081</c:v>
                </c:pt>
                <c:pt idx="71">
                  <c:v>20082</c:v>
                </c:pt>
                <c:pt idx="72">
                  <c:v>20083</c:v>
                </c:pt>
                <c:pt idx="73">
                  <c:v>20084</c:v>
                </c:pt>
                <c:pt idx="74">
                  <c:v>20091</c:v>
                </c:pt>
                <c:pt idx="75">
                  <c:v>20092</c:v>
                </c:pt>
                <c:pt idx="76">
                  <c:v>20093</c:v>
                </c:pt>
                <c:pt idx="77">
                  <c:v>20094</c:v>
                </c:pt>
                <c:pt idx="78">
                  <c:v>20101</c:v>
                </c:pt>
                <c:pt idx="79">
                  <c:v>20102</c:v>
                </c:pt>
                <c:pt idx="80">
                  <c:v>20103</c:v>
                </c:pt>
                <c:pt idx="81">
                  <c:v>20104</c:v>
                </c:pt>
                <c:pt idx="82">
                  <c:v>20111</c:v>
                </c:pt>
                <c:pt idx="83">
                  <c:v>20112</c:v>
                </c:pt>
                <c:pt idx="84">
                  <c:v>20113</c:v>
                </c:pt>
                <c:pt idx="85">
                  <c:v>20114</c:v>
                </c:pt>
                <c:pt idx="86">
                  <c:v>20121</c:v>
                </c:pt>
                <c:pt idx="87">
                  <c:v>20122</c:v>
                </c:pt>
                <c:pt idx="88">
                  <c:v>20123</c:v>
                </c:pt>
                <c:pt idx="89">
                  <c:v>20124</c:v>
                </c:pt>
                <c:pt idx="90">
                  <c:v>20131</c:v>
                </c:pt>
                <c:pt idx="91">
                  <c:v>20132</c:v>
                </c:pt>
                <c:pt idx="92">
                  <c:v>20133</c:v>
                </c:pt>
                <c:pt idx="93">
                  <c:v>20134</c:v>
                </c:pt>
                <c:pt idx="94">
                  <c:v>20141</c:v>
                </c:pt>
                <c:pt idx="95">
                  <c:v>20142</c:v>
                </c:pt>
              </c:numCache>
            </c:numRef>
          </c:cat>
          <c:val>
            <c:numRef>
              <c:f>Figures!$BF$199:$BF$294</c:f>
              <c:numCache>
                <c:formatCode>0%</c:formatCode>
                <c:ptCount val="96"/>
                <c:pt idx="0">
                  <c:v>-7.3423470000000025E-3</c:v>
                </c:pt>
                <c:pt idx="1">
                  <c:v>-3.0969118000000007E-2</c:v>
                </c:pt>
                <c:pt idx="2">
                  <c:v>-1.5709470000000007E-2</c:v>
                </c:pt>
                <c:pt idx="3">
                  <c:v>-1.6777204E-2</c:v>
                </c:pt>
                <c:pt idx="4">
                  <c:v>-1.9591654000000003E-2</c:v>
                </c:pt>
                <c:pt idx="5">
                  <c:v>-7.0061472000000014E-2</c:v>
                </c:pt>
                <c:pt idx="6">
                  <c:v>-1.8008350999999999E-2</c:v>
                </c:pt>
                <c:pt idx="7">
                  <c:v>-2.9286632999999999E-2</c:v>
                </c:pt>
                <c:pt idx="8">
                  <c:v>-2.2557685000000001E-2</c:v>
                </c:pt>
                <c:pt idx="9">
                  <c:v>-4.687334299999997E-2</c:v>
                </c:pt>
                <c:pt idx="10">
                  <c:v>-1.2280185000000004E-2</c:v>
                </c:pt>
                <c:pt idx="11">
                  <c:v>-2.1801711000000012E-2</c:v>
                </c:pt>
                <c:pt idx="12">
                  <c:v>-8.5331220000000006E-3</c:v>
                </c:pt>
                <c:pt idx="13">
                  <c:v>-2.3197897999999998E-2</c:v>
                </c:pt>
                <c:pt idx="14">
                  <c:v>-7.4374820000000022E-3</c:v>
                </c:pt>
                <c:pt idx="15">
                  <c:v>-5.8021339999999996E-3</c:v>
                </c:pt>
                <c:pt idx="16">
                  <c:v>-5.9531720000000022E-3</c:v>
                </c:pt>
                <c:pt idx="17">
                  <c:v>-3.149952000000001E-3</c:v>
                </c:pt>
                <c:pt idx="18">
                  <c:v>-7.8762100000000039E-4</c:v>
                </c:pt>
                <c:pt idx="19">
                  <c:v>-1.5634370000000004E-3</c:v>
                </c:pt>
                <c:pt idx="20">
                  <c:v>-1.3144810000000004E-3</c:v>
                </c:pt>
                <c:pt idx="21">
                  <c:v>-1.1300296E-2</c:v>
                </c:pt>
                <c:pt idx="22">
                  <c:v>2.5611689999999999E-3</c:v>
                </c:pt>
                <c:pt idx="23">
                  <c:v>1.011837E-3</c:v>
                </c:pt>
                <c:pt idx="24">
                  <c:v>5.0940380000000004E-3</c:v>
                </c:pt>
                <c:pt idx="25">
                  <c:v>4.6387990000000025E-3</c:v>
                </c:pt>
                <c:pt idx="26">
                  <c:v>1.9367600000000005E-3</c:v>
                </c:pt>
                <c:pt idx="27">
                  <c:v>5.8872869999999997E-3</c:v>
                </c:pt>
                <c:pt idx="28">
                  <c:v>1.1835818999999999E-2</c:v>
                </c:pt>
                <c:pt idx="29">
                  <c:v>2.4881421000000001E-2</c:v>
                </c:pt>
                <c:pt idx="30">
                  <c:v>1.9309102000000005E-2</c:v>
                </c:pt>
                <c:pt idx="31">
                  <c:v>2.0713212000000009E-2</c:v>
                </c:pt>
                <c:pt idx="32">
                  <c:v>1.3680422000000005E-2</c:v>
                </c:pt>
                <c:pt idx="33">
                  <c:v>1.4579171000000004E-2</c:v>
                </c:pt>
                <c:pt idx="34">
                  <c:v>5.5965820000000019E-3</c:v>
                </c:pt>
                <c:pt idx="35">
                  <c:v>5.3271450000000001E-3</c:v>
                </c:pt>
                <c:pt idx="36">
                  <c:v>7.9312240000000075E-3</c:v>
                </c:pt>
                <c:pt idx="37">
                  <c:v>8.8905940000000086E-3</c:v>
                </c:pt>
                <c:pt idx="38">
                  <c:v>4.1025299999999983E-3</c:v>
                </c:pt>
                <c:pt idx="39">
                  <c:v>9.4674450000000084E-3</c:v>
                </c:pt>
                <c:pt idx="40">
                  <c:v>8.6591750000000068E-3</c:v>
                </c:pt>
                <c:pt idx="41">
                  <c:v>1.2344018E-2</c:v>
                </c:pt>
                <c:pt idx="42">
                  <c:v>2.7093190000000017E-3</c:v>
                </c:pt>
                <c:pt idx="43">
                  <c:v>3.2822940000000011E-3</c:v>
                </c:pt>
                <c:pt idx="44">
                  <c:v>-4.9510200000000022E-3</c:v>
                </c:pt>
                <c:pt idx="45">
                  <c:v>-1.4113486E-2</c:v>
                </c:pt>
                <c:pt idx="46">
                  <c:v>-5.8976389999999997E-3</c:v>
                </c:pt>
                <c:pt idx="47">
                  <c:v>-4.8028979999999999E-3</c:v>
                </c:pt>
                <c:pt idx="48">
                  <c:v>-2.5061780000000008E-3</c:v>
                </c:pt>
                <c:pt idx="49">
                  <c:v>-2.9378350000000002E-3</c:v>
                </c:pt>
                <c:pt idx="50">
                  <c:v>-4.3771100000000002E-4</c:v>
                </c:pt>
                <c:pt idx="51">
                  <c:v>1.3460890000000008E-3</c:v>
                </c:pt>
                <c:pt idx="52">
                  <c:v>9.5445100000000026E-4</c:v>
                </c:pt>
                <c:pt idx="53">
                  <c:v>9.5103850000000049E-3</c:v>
                </c:pt>
                <c:pt idx="54">
                  <c:v>7.4943790000000024E-3</c:v>
                </c:pt>
                <c:pt idx="55">
                  <c:v>1.3118780999999998E-2</c:v>
                </c:pt>
                <c:pt idx="56">
                  <c:v>1.6597977999999999E-2</c:v>
                </c:pt>
                <c:pt idx="57">
                  <c:v>2.9776849000000001E-2</c:v>
                </c:pt>
                <c:pt idx="58">
                  <c:v>1.7811123000000005E-2</c:v>
                </c:pt>
                <c:pt idx="59">
                  <c:v>3.6969268999999999E-2</c:v>
                </c:pt>
                <c:pt idx="60">
                  <c:v>2.8401827000000008E-2</c:v>
                </c:pt>
                <c:pt idx="61">
                  <c:v>3.8891806000000001E-2</c:v>
                </c:pt>
                <c:pt idx="62">
                  <c:v>2.0810548000000002E-2</c:v>
                </c:pt>
                <c:pt idx="63">
                  <c:v>2.4746641E-2</c:v>
                </c:pt>
                <c:pt idx="64">
                  <c:v>2.0029128E-2</c:v>
                </c:pt>
                <c:pt idx="65">
                  <c:v>3.2117136000000004E-2</c:v>
                </c:pt>
                <c:pt idx="66">
                  <c:v>2.2154985999999998E-2</c:v>
                </c:pt>
                <c:pt idx="67">
                  <c:v>3.1145189E-2</c:v>
                </c:pt>
                <c:pt idx="68">
                  <c:v>2.2765555999999999E-2</c:v>
                </c:pt>
                <c:pt idx="69">
                  <c:v>1.9107196999999999E-2</c:v>
                </c:pt>
                <c:pt idx="70">
                  <c:v>3.7195830000000011E-3</c:v>
                </c:pt>
                <c:pt idx="71">
                  <c:v>-7.0196220000000031E-3</c:v>
                </c:pt>
                <c:pt idx="72">
                  <c:v>-1.4138135E-2</c:v>
                </c:pt>
                <c:pt idx="73">
                  <c:v>-9.6550073000000042E-2</c:v>
                </c:pt>
                <c:pt idx="74">
                  <c:v>-8.6741454000000009E-2</c:v>
                </c:pt>
                <c:pt idx="75">
                  <c:v>-6.9149797999999998E-2</c:v>
                </c:pt>
                <c:pt idx="76">
                  <c:v>-4.8512878000000002E-2</c:v>
                </c:pt>
                <c:pt idx="77">
                  <c:v>-3.6820480000000003E-2</c:v>
                </c:pt>
                <c:pt idx="78">
                  <c:v>-8.8786660000000038E-3</c:v>
                </c:pt>
                <c:pt idx="79">
                  <c:v>1.619338E-2</c:v>
                </c:pt>
                <c:pt idx="80">
                  <c:v>2.1988810000000008E-2</c:v>
                </c:pt>
                <c:pt idx="81">
                  <c:v>3.0346268000000006E-2</c:v>
                </c:pt>
                <c:pt idx="82">
                  <c:v>1.8367814999999999E-2</c:v>
                </c:pt>
                <c:pt idx="83">
                  <c:v>2.3994016999999992E-2</c:v>
                </c:pt>
                <c:pt idx="84">
                  <c:v>1.8324778000000007E-2</c:v>
                </c:pt>
                <c:pt idx="85">
                  <c:v>1.5126746E-2</c:v>
                </c:pt>
                <c:pt idx="86">
                  <c:v>1.2056951E-2</c:v>
                </c:pt>
                <c:pt idx="87">
                  <c:v>1.2323854000000004E-2</c:v>
                </c:pt>
                <c:pt idx="88">
                  <c:v>9.2124130000000026E-3</c:v>
                </c:pt>
                <c:pt idx="89">
                  <c:v>1.1566245999999999E-2</c:v>
                </c:pt>
                <c:pt idx="90">
                  <c:v>1.2823417E-2</c:v>
                </c:pt>
                <c:pt idx="91">
                  <c:v>1.3905112000000001E-2</c:v>
                </c:pt>
                <c:pt idx="92">
                  <c:v>1.2243924999999999E-2</c:v>
                </c:pt>
                <c:pt idx="93">
                  <c:v>1.2090690999999997E-2</c:v>
                </c:pt>
                <c:pt idx="94">
                  <c:v>1.5646304999999999E-2</c:v>
                </c:pt>
                <c:pt idx="95">
                  <c:v>1.5543049000000001E-2</c:v>
                </c:pt>
              </c:numCache>
            </c:numRef>
          </c:val>
        </c:ser>
        <c:marker val="1"/>
        <c:axId val="114800512"/>
        <c:axId val="114798592"/>
      </c:lineChart>
      <c:catAx>
        <c:axId val="114794880"/>
        <c:scaling>
          <c:orientation val="minMax"/>
        </c:scaling>
        <c:axPos val="b"/>
        <c:numFmt formatCode="General" sourceLinked="1"/>
        <c:tickLblPos val="nextTo"/>
        <c:crossAx val="114796416"/>
        <c:crosses val="autoZero"/>
        <c:auto val="1"/>
        <c:lblAlgn val="ctr"/>
        <c:lblOffset val="100"/>
      </c:catAx>
      <c:valAx>
        <c:axId val="114796416"/>
        <c:scaling>
          <c:orientation val="minMax"/>
        </c:scaling>
        <c:axPos val="l"/>
        <c:title>
          <c:tx>
            <c:rich>
              <a:bodyPr rot="-5400000" vert="horz"/>
              <a:lstStyle/>
              <a:p>
                <a:pPr>
                  <a:defRPr/>
                </a:pPr>
                <a:r>
                  <a:rPr lang="en-US"/>
                  <a:t>CRE Tightening</a:t>
                </a:r>
              </a:p>
              <a:p>
                <a:pPr>
                  <a:defRPr/>
                </a:pPr>
                <a:r>
                  <a:rPr lang="en-US" b="0"/>
                  <a:t>(net % of banks reporting tightening)</a:t>
                </a:r>
              </a:p>
            </c:rich>
          </c:tx>
        </c:title>
        <c:numFmt formatCode="General" sourceLinked="1"/>
        <c:tickLblPos val="nextTo"/>
        <c:crossAx val="114794880"/>
        <c:crosses val="autoZero"/>
        <c:crossBetween val="between"/>
      </c:valAx>
      <c:valAx>
        <c:axId val="114798592"/>
        <c:scaling>
          <c:orientation val="maxMin"/>
        </c:scaling>
        <c:axPos val="r"/>
        <c:title>
          <c:tx>
            <c:rich>
              <a:bodyPr rot="-5400000" vert="horz"/>
              <a:lstStyle/>
              <a:p>
                <a:pPr>
                  <a:defRPr/>
                </a:pPr>
                <a:r>
                  <a:rPr lang="en-US"/>
                  <a:t>Capital Gains</a:t>
                </a:r>
              </a:p>
            </c:rich>
          </c:tx>
        </c:title>
        <c:numFmt formatCode="0%" sourceLinked="1"/>
        <c:tickLblPos val="nextTo"/>
        <c:crossAx val="114800512"/>
        <c:crosses val="max"/>
        <c:crossBetween val="between"/>
      </c:valAx>
      <c:catAx>
        <c:axId val="114800512"/>
        <c:scaling>
          <c:orientation val="minMax"/>
        </c:scaling>
        <c:delete val="1"/>
        <c:axPos val="t"/>
        <c:numFmt formatCode="General" sourceLinked="1"/>
        <c:tickLblPos val="none"/>
        <c:crossAx val="114798592"/>
        <c:crosses val="autoZero"/>
        <c:auto val="1"/>
        <c:lblAlgn val="ctr"/>
        <c:lblOffset val="100"/>
      </c:catAx>
    </c:plotArea>
    <c:legend>
      <c:legendPos val="b"/>
    </c:legend>
    <c:plotVisOnly val="1"/>
    <c:dispBlanksAs val="gap"/>
  </c:chart>
  <c:spPr>
    <a:ln>
      <a:noFill/>
    </a:ln>
  </c:spPr>
  <c:txPr>
    <a:bodyPr/>
    <a:lstStyle/>
    <a:p>
      <a:pPr>
        <a:defRPr sz="1000">
          <a:latin typeface="Times New Roman" panose="02020603050405020304" pitchFamily="18" charset="0"/>
          <a:cs typeface="Times New Roman" panose="02020603050405020304" pitchFamily="18" charset="0"/>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US"/>
  <c:chart>
    <c:autoTitleDeleted val="1"/>
    <c:plotArea>
      <c:layout/>
      <c:areaChart>
        <c:grouping val="standard"/>
        <c:ser>
          <c:idx val="5"/>
          <c:order val="3"/>
          <c:tx>
            <c:v>CRE debt (% of GDP)</c:v>
          </c:tx>
          <c:spPr>
            <a:solidFill>
              <a:schemeClr val="accent1">
                <a:lumMod val="60000"/>
                <a:lumOff val="40000"/>
                <a:alpha val="40000"/>
              </a:schemeClr>
            </a:solidFill>
            <a:ln w="12700">
              <a:solidFill>
                <a:srgbClr val="002060"/>
              </a:solidFill>
            </a:ln>
          </c:spPr>
          <c:val>
            <c:numRef>
              <c:f>Figures!$BG$52:$BG$146</c:f>
              <c:numCache>
                <c:formatCode>0%</c:formatCode>
                <c:ptCount val="95"/>
                <c:pt idx="0">
                  <c:v>0.13571003127954223</c:v>
                </c:pt>
                <c:pt idx="1">
                  <c:v>0.13609956751282526</c:v>
                </c:pt>
                <c:pt idx="2">
                  <c:v>0.13662110959718576</c:v>
                </c:pt>
                <c:pt idx="3">
                  <c:v>0.13533562701022203</c:v>
                </c:pt>
                <c:pt idx="4">
                  <c:v>0.13178230432265534</c:v>
                </c:pt>
                <c:pt idx="5">
                  <c:v>0.12842168345197719</c:v>
                </c:pt>
                <c:pt idx="6">
                  <c:v>0.1249700795668255</c:v>
                </c:pt>
                <c:pt idx="7">
                  <c:v>0.12197810751197571</c:v>
                </c:pt>
                <c:pt idx="8">
                  <c:v>0.11848399846656039</c:v>
                </c:pt>
                <c:pt idx="9">
                  <c:v>0.11387956936813187</c:v>
                </c:pt>
                <c:pt idx="10">
                  <c:v>0.11199669214012627</c:v>
                </c:pt>
                <c:pt idx="11">
                  <c:v>0.10936083379700128</c:v>
                </c:pt>
                <c:pt idx="12">
                  <c:v>0.10737066740534747</c:v>
                </c:pt>
                <c:pt idx="13">
                  <c:v>0.10490241799852121</c:v>
                </c:pt>
                <c:pt idx="14">
                  <c:v>0.10218765099561401</c:v>
                </c:pt>
                <c:pt idx="15">
                  <c:v>0.1002536015708823</c:v>
                </c:pt>
                <c:pt idx="16">
                  <c:v>9.9129745263387026E-2</c:v>
                </c:pt>
                <c:pt idx="17">
                  <c:v>9.6664250110342839E-2</c:v>
                </c:pt>
                <c:pt idx="18">
                  <c:v>9.651335672537871E-2</c:v>
                </c:pt>
                <c:pt idx="19">
                  <c:v>9.6076588844034749E-2</c:v>
                </c:pt>
                <c:pt idx="20">
                  <c:v>9.5160175929410271E-2</c:v>
                </c:pt>
                <c:pt idx="21">
                  <c:v>9.4082983114302202E-2</c:v>
                </c:pt>
                <c:pt idx="22">
                  <c:v>9.3909396523545921E-2</c:v>
                </c:pt>
                <c:pt idx="23">
                  <c:v>9.3130470892513834E-2</c:v>
                </c:pt>
                <c:pt idx="24">
                  <c:v>9.2082033839931285E-2</c:v>
                </c:pt>
                <c:pt idx="25">
                  <c:v>9.2122942657865844E-2</c:v>
                </c:pt>
                <c:pt idx="26">
                  <c:v>9.1761753180752456E-2</c:v>
                </c:pt>
                <c:pt idx="27">
                  <c:v>9.2123809574480575E-2</c:v>
                </c:pt>
                <c:pt idx="28">
                  <c:v>9.2565355921673365E-2</c:v>
                </c:pt>
                <c:pt idx="29">
                  <c:v>9.4028922396823159E-2</c:v>
                </c:pt>
                <c:pt idx="30">
                  <c:v>9.4447848048865565E-2</c:v>
                </c:pt>
                <c:pt idx="31">
                  <c:v>9.5459178760825825E-2</c:v>
                </c:pt>
                <c:pt idx="32">
                  <c:v>9.6261604919914673E-2</c:v>
                </c:pt>
                <c:pt idx="33">
                  <c:v>9.8178651897444694E-2</c:v>
                </c:pt>
                <c:pt idx="34">
                  <c:v>9.9552896010415962E-2</c:v>
                </c:pt>
                <c:pt idx="35">
                  <c:v>0.10080726380663389</c:v>
                </c:pt>
                <c:pt idx="36">
                  <c:v>0.10512439401583559</c:v>
                </c:pt>
                <c:pt idx="37">
                  <c:v>0.10602239761839999</c:v>
                </c:pt>
                <c:pt idx="38">
                  <c:v>0.10759982274947662</c:v>
                </c:pt>
                <c:pt idx="39">
                  <c:v>0.10796422764464945</c:v>
                </c:pt>
                <c:pt idx="40">
                  <c:v>0.10926577142912322</c:v>
                </c:pt>
                <c:pt idx="41">
                  <c:v>0.11075512322985402</c:v>
                </c:pt>
                <c:pt idx="42">
                  <c:v>0.11228178928636008</c:v>
                </c:pt>
                <c:pt idx="43">
                  <c:v>0.11334096875469994</c:v>
                </c:pt>
                <c:pt idx="44">
                  <c:v>0.11636194708397957</c:v>
                </c:pt>
                <c:pt idx="45">
                  <c:v>0.11865310130544887</c:v>
                </c:pt>
                <c:pt idx="46">
                  <c:v>0.11879250036919445</c:v>
                </c:pt>
                <c:pt idx="47">
                  <c:v>0.1201796331894502</c:v>
                </c:pt>
                <c:pt idx="48">
                  <c:v>0.12120281822217793</c:v>
                </c:pt>
                <c:pt idx="49">
                  <c:v>0.12337001305859256</c:v>
                </c:pt>
                <c:pt idx="50">
                  <c:v>0.12391667349355753</c:v>
                </c:pt>
                <c:pt idx="51">
                  <c:v>0.12538849648658393</c:v>
                </c:pt>
                <c:pt idx="52">
                  <c:v>0.12570221666910392</c:v>
                </c:pt>
                <c:pt idx="53">
                  <c:v>0.12666199148669691</c:v>
                </c:pt>
                <c:pt idx="54">
                  <c:v>0.12787696072870433</c:v>
                </c:pt>
                <c:pt idx="55">
                  <c:v>0.12909313921224166</c:v>
                </c:pt>
                <c:pt idx="56">
                  <c:v>0.13069041559869665</c:v>
                </c:pt>
                <c:pt idx="57">
                  <c:v>0.1331303003454809</c:v>
                </c:pt>
                <c:pt idx="58">
                  <c:v>0.13376754762480783</c:v>
                </c:pt>
                <c:pt idx="59">
                  <c:v>0.13661061491741239</c:v>
                </c:pt>
                <c:pt idx="60">
                  <c:v>0.13895687521771397</c:v>
                </c:pt>
                <c:pt idx="61">
                  <c:v>0.143171987804149</c:v>
                </c:pt>
                <c:pt idx="62">
                  <c:v>0.14542702041922798</c:v>
                </c:pt>
                <c:pt idx="63">
                  <c:v>0.14829286562124094</c:v>
                </c:pt>
                <c:pt idx="64">
                  <c:v>0.15179070884710796</c:v>
                </c:pt>
                <c:pt idx="65">
                  <c:v>0.15694650379628061</c:v>
                </c:pt>
                <c:pt idx="66">
                  <c:v>0.15828515281173608</c:v>
                </c:pt>
                <c:pt idx="67">
                  <c:v>0.16170426734986793</c:v>
                </c:pt>
                <c:pt idx="68">
                  <c:v>0.16584499481801274</c:v>
                </c:pt>
                <c:pt idx="69">
                  <c:v>0.1684495093733189</c:v>
                </c:pt>
                <c:pt idx="70">
                  <c:v>0.17150630900439046</c:v>
                </c:pt>
                <c:pt idx="71">
                  <c:v>0.17229942969013709</c:v>
                </c:pt>
                <c:pt idx="72">
                  <c:v>0.17256296840261404</c:v>
                </c:pt>
                <c:pt idx="73">
                  <c:v>0.17733686946302041</c:v>
                </c:pt>
                <c:pt idx="74">
                  <c:v>0.17904297881659359</c:v>
                </c:pt>
                <c:pt idx="75">
                  <c:v>0.17855123176480436</c:v>
                </c:pt>
                <c:pt idx="76">
                  <c:v>0.17613511140773491</c:v>
                </c:pt>
                <c:pt idx="77">
                  <c:v>0.17070198592661245</c:v>
                </c:pt>
                <c:pt idx="78">
                  <c:v>0.16756147230112195</c:v>
                </c:pt>
                <c:pt idx="79">
                  <c:v>0.16192206997299946</c:v>
                </c:pt>
                <c:pt idx="80">
                  <c:v>0.15724392344116309</c:v>
                </c:pt>
                <c:pt idx="81">
                  <c:v>0.15378405496973124</c:v>
                </c:pt>
                <c:pt idx="82">
                  <c:v>0.15250519096493076</c:v>
                </c:pt>
                <c:pt idx="83">
                  <c:v>0.14865714680257941</c:v>
                </c:pt>
                <c:pt idx="84">
                  <c:v>0.14586267496840336</c:v>
                </c:pt>
                <c:pt idx="85">
                  <c:v>0.14321296814124543</c:v>
                </c:pt>
                <c:pt idx="86">
                  <c:v>0.14041738081659527</c:v>
                </c:pt>
                <c:pt idx="87">
                  <c:v>0.13819006747562868</c:v>
                </c:pt>
                <c:pt idx="88">
                  <c:v>0.13604213351855379</c:v>
                </c:pt>
                <c:pt idx="89">
                  <c:v>0.13637396810041327</c:v>
                </c:pt>
                <c:pt idx="90">
                  <c:v>0.13444805113195663</c:v>
                </c:pt>
                <c:pt idx="91">
                  <c:v>0.13451784646673731</c:v>
                </c:pt>
                <c:pt idx="92">
                  <c:v>0.13361116670519141</c:v>
                </c:pt>
                <c:pt idx="93">
                  <c:v>0.13396178817563814</c:v>
                </c:pt>
                <c:pt idx="94">
                  <c:v>0.13460111036141753</c:v>
                </c:pt>
              </c:numCache>
            </c:numRef>
          </c:val>
        </c:ser>
        <c:axId val="114903296"/>
        <c:axId val="114901376"/>
      </c:areaChart>
      <c:lineChart>
        <c:grouping val="standard"/>
        <c:ser>
          <c:idx val="0"/>
          <c:order val="0"/>
          <c:tx>
            <c:v>Baa rates</c:v>
          </c:tx>
          <c:spPr>
            <a:ln w="15875">
              <a:solidFill>
                <a:schemeClr val="bg2">
                  <a:lumMod val="75000"/>
                </a:schemeClr>
              </a:solidFill>
            </a:ln>
          </c:spPr>
          <c:marker>
            <c:symbol val="none"/>
          </c:marker>
          <c:cat>
            <c:numRef>
              <c:f>Figures!$A$346:$A$441</c:f>
              <c:numCache>
                <c:formatCode>General</c:formatCode>
                <c:ptCount val="96"/>
                <c:pt idx="0">
                  <c:v>19903</c:v>
                </c:pt>
                <c:pt idx="1">
                  <c:v>19904</c:v>
                </c:pt>
                <c:pt idx="2">
                  <c:v>19911</c:v>
                </c:pt>
                <c:pt idx="3">
                  <c:v>19912</c:v>
                </c:pt>
                <c:pt idx="4">
                  <c:v>19913</c:v>
                </c:pt>
                <c:pt idx="5">
                  <c:v>19914</c:v>
                </c:pt>
                <c:pt idx="6">
                  <c:v>19921</c:v>
                </c:pt>
                <c:pt idx="7">
                  <c:v>19922</c:v>
                </c:pt>
                <c:pt idx="8">
                  <c:v>19923</c:v>
                </c:pt>
                <c:pt idx="9">
                  <c:v>19924</c:v>
                </c:pt>
                <c:pt idx="10">
                  <c:v>19931</c:v>
                </c:pt>
                <c:pt idx="11">
                  <c:v>19932</c:v>
                </c:pt>
                <c:pt idx="12">
                  <c:v>19933</c:v>
                </c:pt>
                <c:pt idx="13">
                  <c:v>19934</c:v>
                </c:pt>
                <c:pt idx="14">
                  <c:v>19941</c:v>
                </c:pt>
                <c:pt idx="15">
                  <c:v>19942</c:v>
                </c:pt>
                <c:pt idx="16">
                  <c:v>19943</c:v>
                </c:pt>
                <c:pt idx="17">
                  <c:v>19944</c:v>
                </c:pt>
                <c:pt idx="18">
                  <c:v>19951</c:v>
                </c:pt>
                <c:pt idx="19">
                  <c:v>19952</c:v>
                </c:pt>
                <c:pt idx="20">
                  <c:v>19953</c:v>
                </c:pt>
                <c:pt idx="21">
                  <c:v>19954</c:v>
                </c:pt>
                <c:pt idx="22">
                  <c:v>19961</c:v>
                </c:pt>
                <c:pt idx="23">
                  <c:v>19962</c:v>
                </c:pt>
                <c:pt idx="24">
                  <c:v>19963</c:v>
                </c:pt>
                <c:pt idx="25">
                  <c:v>19964</c:v>
                </c:pt>
                <c:pt idx="26">
                  <c:v>19971</c:v>
                </c:pt>
                <c:pt idx="27">
                  <c:v>19972</c:v>
                </c:pt>
                <c:pt idx="28">
                  <c:v>19973</c:v>
                </c:pt>
                <c:pt idx="29">
                  <c:v>19974</c:v>
                </c:pt>
                <c:pt idx="30">
                  <c:v>19981</c:v>
                </c:pt>
                <c:pt idx="31">
                  <c:v>19982</c:v>
                </c:pt>
                <c:pt idx="32">
                  <c:v>19983</c:v>
                </c:pt>
                <c:pt idx="33">
                  <c:v>19984</c:v>
                </c:pt>
                <c:pt idx="34">
                  <c:v>19991</c:v>
                </c:pt>
                <c:pt idx="35">
                  <c:v>19992</c:v>
                </c:pt>
                <c:pt idx="36">
                  <c:v>19993</c:v>
                </c:pt>
                <c:pt idx="37">
                  <c:v>19994</c:v>
                </c:pt>
                <c:pt idx="38">
                  <c:v>20001</c:v>
                </c:pt>
                <c:pt idx="39">
                  <c:v>20002</c:v>
                </c:pt>
                <c:pt idx="40">
                  <c:v>20003</c:v>
                </c:pt>
                <c:pt idx="41">
                  <c:v>20004</c:v>
                </c:pt>
                <c:pt idx="42">
                  <c:v>20011</c:v>
                </c:pt>
                <c:pt idx="43">
                  <c:v>20012</c:v>
                </c:pt>
                <c:pt idx="44">
                  <c:v>20013</c:v>
                </c:pt>
                <c:pt idx="45">
                  <c:v>20014</c:v>
                </c:pt>
                <c:pt idx="46">
                  <c:v>20021</c:v>
                </c:pt>
                <c:pt idx="47">
                  <c:v>20022</c:v>
                </c:pt>
                <c:pt idx="48">
                  <c:v>20023</c:v>
                </c:pt>
                <c:pt idx="49">
                  <c:v>20024</c:v>
                </c:pt>
                <c:pt idx="50">
                  <c:v>20031</c:v>
                </c:pt>
                <c:pt idx="51">
                  <c:v>20032</c:v>
                </c:pt>
                <c:pt idx="52">
                  <c:v>20033</c:v>
                </c:pt>
                <c:pt idx="53">
                  <c:v>20034</c:v>
                </c:pt>
                <c:pt idx="54">
                  <c:v>20041</c:v>
                </c:pt>
                <c:pt idx="55">
                  <c:v>20042</c:v>
                </c:pt>
                <c:pt idx="56">
                  <c:v>20043</c:v>
                </c:pt>
                <c:pt idx="57">
                  <c:v>20044</c:v>
                </c:pt>
                <c:pt idx="58">
                  <c:v>20051</c:v>
                </c:pt>
                <c:pt idx="59">
                  <c:v>20052</c:v>
                </c:pt>
                <c:pt idx="60">
                  <c:v>20053</c:v>
                </c:pt>
                <c:pt idx="61">
                  <c:v>20054</c:v>
                </c:pt>
                <c:pt idx="62">
                  <c:v>20061</c:v>
                </c:pt>
                <c:pt idx="63">
                  <c:v>20062</c:v>
                </c:pt>
                <c:pt idx="64">
                  <c:v>20063</c:v>
                </c:pt>
                <c:pt idx="65">
                  <c:v>20064</c:v>
                </c:pt>
                <c:pt idx="66">
                  <c:v>20071</c:v>
                </c:pt>
                <c:pt idx="67">
                  <c:v>20072</c:v>
                </c:pt>
                <c:pt idx="68">
                  <c:v>20073</c:v>
                </c:pt>
                <c:pt idx="69">
                  <c:v>20074</c:v>
                </c:pt>
                <c:pt idx="70">
                  <c:v>20081</c:v>
                </c:pt>
                <c:pt idx="71">
                  <c:v>20082</c:v>
                </c:pt>
                <c:pt idx="72">
                  <c:v>20083</c:v>
                </c:pt>
                <c:pt idx="73">
                  <c:v>20084</c:v>
                </c:pt>
                <c:pt idx="74">
                  <c:v>20091</c:v>
                </c:pt>
                <c:pt idx="75">
                  <c:v>20092</c:v>
                </c:pt>
                <c:pt idx="76">
                  <c:v>20093</c:v>
                </c:pt>
                <c:pt idx="77">
                  <c:v>20094</c:v>
                </c:pt>
                <c:pt idx="78">
                  <c:v>20101</c:v>
                </c:pt>
                <c:pt idx="79">
                  <c:v>20102</c:v>
                </c:pt>
                <c:pt idx="80">
                  <c:v>20103</c:v>
                </c:pt>
                <c:pt idx="81">
                  <c:v>20104</c:v>
                </c:pt>
                <c:pt idx="82">
                  <c:v>20111</c:v>
                </c:pt>
                <c:pt idx="83">
                  <c:v>20112</c:v>
                </c:pt>
                <c:pt idx="84">
                  <c:v>20113</c:v>
                </c:pt>
                <c:pt idx="85">
                  <c:v>20114</c:v>
                </c:pt>
                <c:pt idx="86">
                  <c:v>20121</c:v>
                </c:pt>
                <c:pt idx="87">
                  <c:v>20122</c:v>
                </c:pt>
                <c:pt idx="88">
                  <c:v>20123</c:v>
                </c:pt>
                <c:pt idx="89">
                  <c:v>20124</c:v>
                </c:pt>
                <c:pt idx="90">
                  <c:v>20131</c:v>
                </c:pt>
                <c:pt idx="91">
                  <c:v>20132</c:v>
                </c:pt>
                <c:pt idx="92">
                  <c:v>20133</c:v>
                </c:pt>
                <c:pt idx="93">
                  <c:v>20134</c:v>
                </c:pt>
                <c:pt idx="94">
                  <c:v>20141</c:v>
                </c:pt>
                <c:pt idx="95">
                  <c:v>20142</c:v>
                </c:pt>
              </c:numCache>
            </c:numRef>
          </c:cat>
          <c:val>
            <c:numRef>
              <c:f>Figures!$AW$346:$AW$441</c:f>
              <c:numCache>
                <c:formatCode>General</c:formatCode>
                <c:ptCount val="96"/>
                <c:pt idx="0">
                  <c:v>10.42</c:v>
                </c:pt>
                <c:pt idx="1">
                  <c:v>10.6</c:v>
                </c:pt>
                <c:pt idx="2">
                  <c:v>10.200000000000001</c:v>
                </c:pt>
                <c:pt idx="3">
                  <c:v>9.92</c:v>
                </c:pt>
                <c:pt idx="4">
                  <c:v>9.68</c:v>
                </c:pt>
                <c:pt idx="5">
                  <c:v>9.4</c:v>
                </c:pt>
                <c:pt idx="6">
                  <c:v>9.2000000000000011</c:v>
                </c:pt>
                <c:pt idx="7">
                  <c:v>9.1300000000000008</c:v>
                </c:pt>
                <c:pt idx="8">
                  <c:v>8.7000000000000011</c:v>
                </c:pt>
                <c:pt idx="9">
                  <c:v>8.8700000000000028</c:v>
                </c:pt>
                <c:pt idx="10">
                  <c:v>8.4</c:v>
                </c:pt>
                <c:pt idx="11">
                  <c:v>8.14</c:v>
                </c:pt>
                <c:pt idx="12">
                  <c:v>7.6199999999999983</c:v>
                </c:pt>
                <c:pt idx="13">
                  <c:v>7.55</c:v>
                </c:pt>
                <c:pt idx="14">
                  <c:v>7.85</c:v>
                </c:pt>
                <c:pt idx="15">
                  <c:v>8.6</c:v>
                </c:pt>
                <c:pt idx="16">
                  <c:v>8.84</c:v>
                </c:pt>
                <c:pt idx="17">
                  <c:v>9.2100000000000009</c:v>
                </c:pt>
                <c:pt idx="18">
                  <c:v>8.8800000000000008</c:v>
                </c:pt>
                <c:pt idx="19">
                  <c:v>8.23</c:v>
                </c:pt>
                <c:pt idx="20">
                  <c:v>8.0500000000000007</c:v>
                </c:pt>
                <c:pt idx="21">
                  <c:v>7.64</c:v>
                </c:pt>
                <c:pt idx="22">
                  <c:v>7.71</c:v>
                </c:pt>
                <c:pt idx="23">
                  <c:v>8.3000000000000007</c:v>
                </c:pt>
                <c:pt idx="24">
                  <c:v>8.2900000000000009</c:v>
                </c:pt>
                <c:pt idx="25">
                  <c:v>7.92</c:v>
                </c:pt>
                <c:pt idx="26">
                  <c:v>8.07</c:v>
                </c:pt>
                <c:pt idx="27">
                  <c:v>8.19</c:v>
                </c:pt>
                <c:pt idx="28">
                  <c:v>7.76</c:v>
                </c:pt>
                <c:pt idx="29">
                  <c:v>7.44</c:v>
                </c:pt>
                <c:pt idx="30">
                  <c:v>7.25</c:v>
                </c:pt>
                <c:pt idx="31">
                  <c:v>7.25</c:v>
                </c:pt>
                <c:pt idx="32">
                  <c:v>7.13</c:v>
                </c:pt>
                <c:pt idx="33">
                  <c:v>7.25</c:v>
                </c:pt>
                <c:pt idx="34">
                  <c:v>7.4</c:v>
                </c:pt>
                <c:pt idx="35">
                  <c:v>7.74</c:v>
                </c:pt>
                <c:pt idx="36">
                  <c:v>8.1</c:v>
                </c:pt>
                <c:pt idx="37">
                  <c:v>8.24</c:v>
                </c:pt>
                <c:pt idx="38">
                  <c:v>8.33</c:v>
                </c:pt>
                <c:pt idx="39">
                  <c:v>8.59</c:v>
                </c:pt>
                <c:pt idx="40">
                  <c:v>8.32</c:v>
                </c:pt>
                <c:pt idx="41">
                  <c:v>8.2100000000000009</c:v>
                </c:pt>
                <c:pt idx="42">
                  <c:v>7.88</c:v>
                </c:pt>
                <c:pt idx="43">
                  <c:v>8.0400000000000009</c:v>
                </c:pt>
                <c:pt idx="44">
                  <c:v>7.95</c:v>
                </c:pt>
                <c:pt idx="45">
                  <c:v>7.92</c:v>
                </c:pt>
                <c:pt idx="46">
                  <c:v>7.96</c:v>
                </c:pt>
                <c:pt idx="47">
                  <c:v>8.02</c:v>
                </c:pt>
                <c:pt idx="48">
                  <c:v>7.63</c:v>
                </c:pt>
                <c:pt idx="49">
                  <c:v>7.6</c:v>
                </c:pt>
                <c:pt idx="50">
                  <c:v>7.1199999999999983</c:v>
                </c:pt>
                <c:pt idx="51">
                  <c:v>6.4700000000000015</c:v>
                </c:pt>
                <c:pt idx="52">
                  <c:v>6.81</c:v>
                </c:pt>
                <c:pt idx="53">
                  <c:v>6.6599999999999984</c:v>
                </c:pt>
                <c:pt idx="54">
                  <c:v>6.2700000000000014</c:v>
                </c:pt>
                <c:pt idx="55">
                  <c:v>6.6599999999999984</c:v>
                </c:pt>
                <c:pt idx="56">
                  <c:v>6.45</c:v>
                </c:pt>
                <c:pt idx="57">
                  <c:v>6.1899999999999995</c:v>
                </c:pt>
                <c:pt idx="58">
                  <c:v>5.9700000000000015</c:v>
                </c:pt>
                <c:pt idx="59">
                  <c:v>5.9700000000000015</c:v>
                </c:pt>
                <c:pt idx="60">
                  <c:v>5.98</c:v>
                </c:pt>
                <c:pt idx="61">
                  <c:v>6.34</c:v>
                </c:pt>
                <c:pt idx="62">
                  <c:v>6.31</c:v>
                </c:pt>
                <c:pt idx="63">
                  <c:v>6.74</c:v>
                </c:pt>
                <c:pt idx="64">
                  <c:v>6.59</c:v>
                </c:pt>
                <c:pt idx="65">
                  <c:v>6.28</c:v>
                </c:pt>
                <c:pt idx="66">
                  <c:v>6.3</c:v>
                </c:pt>
                <c:pt idx="67">
                  <c:v>6.49</c:v>
                </c:pt>
                <c:pt idx="68">
                  <c:v>6.63</c:v>
                </c:pt>
                <c:pt idx="69">
                  <c:v>6.51</c:v>
                </c:pt>
                <c:pt idx="70">
                  <c:v>6.75</c:v>
                </c:pt>
                <c:pt idx="71">
                  <c:v>6.99</c:v>
                </c:pt>
                <c:pt idx="72">
                  <c:v>7.21</c:v>
                </c:pt>
                <c:pt idx="73">
                  <c:v>8.84</c:v>
                </c:pt>
                <c:pt idx="74">
                  <c:v>8.2100000000000009</c:v>
                </c:pt>
                <c:pt idx="75">
                  <c:v>7.98</c:v>
                </c:pt>
                <c:pt idx="76">
                  <c:v>6.6599999999999984</c:v>
                </c:pt>
                <c:pt idx="77">
                  <c:v>6.33</c:v>
                </c:pt>
                <c:pt idx="78">
                  <c:v>6.29</c:v>
                </c:pt>
                <c:pt idx="79">
                  <c:v>6.18</c:v>
                </c:pt>
                <c:pt idx="80">
                  <c:v>5.78</c:v>
                </c:pt>
                <c:pt idx="81">
                  <c:v>5.91</c:v>
                </c:pt>
                <c:pt idx="82">
                  <c:v>6.09</c:v>
                </c:pt>
                <c:pt idx="83">
                  <c:v>5.85</c:v>
                </c:pt>
                <c:pt idx="84">
                  <c:v>5.46</c:v>
                </c:pt>
                <c:pt idx="85">
                  <c:v>5.25</c:v>
                </c:pt>
                <c:pt idx="86">
                  <c:v>5.2</c:v>
                </c:pt>
                <c:pt idx="87">
                  <c:v>5.09</c:v>
                </c:pt>
                <c:pt idx="88">
                  <c:v>4.87</c:v>
                </c:pt>
                <c:pt idx="89">
                  <c:v>4.57</c:v>
                </c:pt>
                <c:pt idx="90">
                  <c:v>4.8099999999999996</c:v>
                </c:pt>
                <c:pt idx="91">
                  <c:v>4.84</c:v>
                </c:pt>
                <c:pt idx="92">
                  <c:v>5.4</c:v>
                </c:pt>
                <c:pt idx="93">
                  <c:v>5.3599999999999985</c:v>
                </c:pt>
                <c:pt idx="94">
                  <c:v>5.1199999999999983</c:v>
                </c:pt>
                <c:pt idx="95">
                  <c:v>4.8199999999999985</c:v>
                </c:pt>
              </c:numCache>
            </c:numRef>
          </c:val>
        </c:ser>
        <c:ser>
          <c:idx val="4"/>
          <c:order val="1"/>
          <c:tx>
            <c:v>Risk-free rate</c:v>
          </c:tx>
          <c:spPr>
            <a:ln w="15875">
              <a:solidFill>
                <a:schemeClr val="tx1"/>
              </a:solidFill>
              <a:prstDash val="solid"/>
            </a:ln>
          </c:spPr>
          <c:marker>
            <c:symbol val="none"/>
          </c:marker>
          <c:val>
            <c:numRef>
              <c:f>Figures!$BD$52:$BD$147</c:f>
              <c:numCache>
                <c:formatCode>General</c:formatCode>
                <c:ptCount val="96"/>
                <c:pt idx="0">
                  <c:v>0.64666666700000019</c:v>
                </c:pt>
                <c:pt idx="1">
                  <c:v>0.61666666699999995</c:v>
                </c:pt>
                <c:pt idx="2">
                  <c:v>0.48000000000000009</c:v>
                </c:pt>
                <c:pt idx="3">
                  <c:v>0.47333333300000002</c:v>
                </c:pt>
                <c:pt idx="4">
                  <c:v>0.47000000000000008</c:v>
                </c:pt>
                <c:pt idx="5">
                  <c:v>0.39666666700000019</c:v>
                </c:pt>
                <c:pt idx="6">
                  <c:v>0.32000000000000012</c:v>
                </c:pt>
                <c:pt idx="7">
                  <c:v>0.30666666700000023</c:v>
                </c:pt>
                <c:pt idx="8">
                  <c:v>0.27666666700000014</c:v>
                </c:pt>
                <c:pt idx="9">
                  <c:v>0.24666666700000001</c:v>
                </c:pt>
                <c:pt idx="10">
                  <c:v>0.23333333300000006</c:v>
                </c:pt>
                <c:pt idx="11">
                  <c:v>0.236666667</c:v>
                </c:pt>
                <c:pt idx="12">
                  <c:v>0.25</c:v>
                </c:pt>
                <c:pt idx="13">
                  <c:v>0.23333333300000006</c:v>
                </c:pt>
                <c:pt idx="14">
                  <c:v>0.24333333300000007</c:v>
                </c:pt>
                <c:pt idx="15">
                  <c:v>0.29666666700000022</c:v>
                </c:pt>
                <c:pt idx="16">
                  <c:v>0.34</c:v>
                </c:pt>
                <c:pt idx="17">
                  <c:v>0.39666666700000019</c:v>
                </c:pt>
                <c:pt idx="18">
                  <c:v>0.42666666700000022</c:v>
                </c:pt>
                <c:pt idx="19">
                  <c:v>0.48333333299999998</c:v>
                </c:pt>
                <c:pt idx="20">
                  <c:v>0.45</c:v>
                </c:pt>
                <c:pt idx="21">
                  <c:v>0.46</c:v>
                </c:pt>
                <c:pt idx="22">
                  <c:v>0.40333333300000002</c:v>
                </c:pt>
                <c:pt idx="23">
                  <c:v>0.42666666700000022</c:v>
                </c:pt>
                <c:pt idx="24">
                  <c:v>0.4333333330000001</c:v>
                </c:pt>
                <c:pt idx="25">
                  <c:v>0.4300000000000001</c:v>
                </c:pt>
                <c:pt idx="26">
                  <c:v>0.42333333299999998</c:v>
                </c:pt>
                <c:pt idx="27">
                  <c:v>0.4300000000000001</c:v>
                </c:pt>
                <c:pt idx="28">
                  <c:v>0.42666666700000022</c:v>
                </c:pt>
                <c:pt idx="29">
                  <c:v>0.4300000000000001</c:v>
                </c:pt>
                <c:pt idx="30">
                  <c:v>0.40333333300000002</c:v>
                </c:pt>
                <c:pt idx="31">
                  <c:v>0.41333333300000002</c:v>
                </c:pt>
                <c:pt idx="32">
                  <c:v>0.4300000000000001</c:v>
                </c:pt>
                <c:pt idx="33">
                  <c:v>0.33666666700000025</c:v>
                </c:pt>
                <c:pt idx="34">
                  <c:v>0.37666666700000023</c:v>
                </c:pt>
                <c:pt idx="35">
                  <c:v>0.37000000000000011</c:v>
                </c:pt>
                <c:pt idx="36">
                  <c:v>0.3866666670000003</c:v>
                </c:pt>
                <c:pt idx="37">
                  <c:v>0.39666666700000019</c:v>
                </c:pt>
                <c:pt idx="38">
                  <c:v>0.43666666700000023</c:v>
                </c:pt>
                <c:pt idx="39">
                  <c:v>0.453333333</c:v>
                </c:pt>
                <c:pt idx="40">
                  <c:v>0.49666666700000023</c:v>
                </c:pt>
                <c:pt idx="41">
                  <c:v>0.52333333299999996</c:v>
                </c:pt>
                <c:pt idx="42">
                  <c:v>0.44666666700000013</c:v>
                </c:pt>
                <c:pt idx="43">
                  <c:v>0.33000000000000013</c:v>
                </c:pt>
                <c:pt idx="44">
                  <c:v>0.29666666700000022</c:v>
                </c:pt>
                <c:pt idx="45">
                  <c:v>0.18000000000000005</c:v>
                </c:pt>
                <c:pt idx="46">
                  <c:v>0.13333333300000005</c:v>
                </c:pt>
                <c:pt idx="47">
                  <c:v>0.14000000000000001</c:v>
                </c:pt>
                <c:pt idx="48">
                  <c:v>0.14333333300000006</c:v>
                </c:pt>
                <c:pt idx="49">
                  <c:v>0.123333333</c:v>
                </c:pt>
                <c:pt idx="50">
                  <c:v>9.6666667000000026E-2</c:v>
                </c:pt>
                <c:pt idx="51">
                  <c:v>9.6666667000000026E-2</c:v>
                </c:pt>
                <c:pt idx="52">
                  <c:v>7.3333333000000028E-2</c:v>
                </c:pt>
                <c:pt idx="53">
                  <c:v>7.3333333000000028E-2</c:v>
                </c:pt>
                <c:pt idx="54">
                  <c:v>7.3333333000000028E-2</c:v>
                </c:pt>
                <c:pt idx="55">
                  <c:v>7.3333333000000028E-2</c:v>
                </c:pt>
                <c:pt idx="56">
                  <c:v>0.10666666700000005</c:v>
                </c:pt>
                <c:pt idx="57">
                  <c:v>0.14000000000000001</c:v>
                </c:pt>
                <c:pt idx="58">
                  <c:v>0.176666667</c:v>
                </c:pt>
                <c:pt idx="59">
                  <c:v>0.22666666699999993</c:v>
                </c:pt>
                <c:pt idx="60">
                  <c:v>0.27666666700000014</c:v>
                </c:pt>
                <c:pt idx="61">
                  <c:v>0.3000000000000001</c:v>
                </c:pt>
                <c:pt idx="62">
                  <c:v>0.35333333300000008</c:v>
                </c:pt>
                <c:pt idx="63">
                  <c:v>0.39666666700000019</c:v>
                </c:pt>
                <c:pt idx="64">
                  <c:v>0.41000000000000009</c:v>
                </c:pt>
                <c:pt idx="65">
                  <c:v>0.41000000000000009</c:v>
                </c:pt>
                <c:pt idx="66">
                  <c:v>0.41666666700000021</c:v>
                </c:pt>
                <c:pt idx="67">
                  <c:v>0.41666666700000021</c:v>
                </c:pt>
                <c:pt idx="68">
                  <c:v>0.38000000000000012</c:v>
                </c:pt>
                <c:pt idx="69">
                  <c:v>0.31000000000000011</c:v>
                </c:pt>
                <c:pt idx="70">
                  <c:v>0.17</c:v>
                </c:pt>
                <c:pt idx="71">
                  <c:v>0.176666667</c:v>
                </c:pt>
                <c:pt idx="72">
                  <c:v>0.14333333300000006</c:v>
                </c:pt>
                <c:pt idx="73">
                  <c:v>3.6666667000000014E-2</c:v>
                </c:pt>
                <c:pt idx="74">
                  <c:v>1.0000000000000004E-2</c:v>
                </c:pt>
                <c:pt idx="75">
                  <c:v>6.666667000000002E-3</c:v>
                </c:pt>
                <c:pt idx="76">
                  <c:v>1.0000000000000004E-2</c:v>
                </c:pt>
                <c:pt idx="77">
                  <c:v>3.3333330000000017E-3</c:v>
                </c:pt>
                <c:pt idx="78">
                  <c:v>3.3333330000000017E-3</c:v>
                </c:pt>
                <c:pt idx="79">
                  <c:v>1.0000000000000004E-2</c:v>
                </c:pt>
                <c:pt idx="80">
                  <c:v>1.0000000000000004E-2</c:v>
                </c:pt>
                <c:pt idx="81">
                  <c:v>1.0000000000000004E-2</c:v>
                </c:pt>
                <c:pt idx="82">
                  <c:v>1.0000000000000004E-2</c:v>
                </c:pt>
                <c:pt idx="83">
                  <c:v>0</c:v>
                </c:pt>
                <c:pt idx="84">
                  <c:v>3.3333330000000017E-3</c:v>
                </c:pt>
                <c:pt idx="85">
                  <c:v>0</c:v>
                </c:pt>
                <c:pt idx="86">
                  <c:v>0</c:v>
                </c:pt>
                <c:pt idx="87">
                  <c:v>3.3333330000000017E-3</c:v>
                </c:pt>
                <c:pt idx="88">
                  <c:v>6.666667000000002E-3</c:v>
                </c:pt>
                <c:pt idx="89">
                  <c:v>1.0000000000000004E-2</c:v>
                </c:pt>
                <c:pt idx="90">
                  <c:v>0</c:v>
                </c:pt>
                <c:pt idx="91">
                  <c:v>0</c:v>
                </c:pt>
                <c:pt idx="92">
                  <c:v>0</c:v>
                </c:pt>
                <c:pt idx="93">
                  <c:v>0</c:v>
                </c:pt>
                <c:pt idx="94">
                  <c:v>0</c:v>
                </c:pt>
                <c:pt idx="95">
                  <c:v>0</c:v>
                </c:pt>
              </c:numCache>
            </c:numRef>
          </c:val>
        </c:ser>
        <c:ser>
          <c:idx val="1"/>
          <c:order val="2"/>
          <c:tx>
            <c:v>Cap rates</c:v>
          </c:tx>
          <c:spPr>
            <a:ln w="15875">
              <a:solidFill>
                <a:schemeClr val="accent6">
                  <a:lumMod val="50000"/>
                </a:schemeClr>
              </a:solidFill>
            </a:ln>
          </c:spPr>
          <c:marker>
            <c:symbol val="none"/>
          </c:marker>
          <c:cat>
            <c:numRef>
              <c:f>Figures!$A$346:$A$441</c:f>
              <c:numCache>
                <c:formatCode>General</c:formatCode>
                <c:ptCount val="96"/>
                <c:pt idx="0">
                  <c:v>19903</c:v>
                </c:pt>
                <c:pt idx="1">
                  <c:v>19904</c:v>
                </c:pt>
                <c:pt idx="2">
                  <c:v>19911</c:v>
                </c:pt>
                <c:pt idx="3">
                  <c:v>19912</c:v>
                </c:pt>
                <c:pt idx="4">
                  <c:v>19913</c:v>
                </c:pt>
                <c:pt idx="5">
                  <c:v>19914</c:v>
                </c:pt>
                <c:pt idx="6">
                  <c:v>19921</c:v>
                </c:pt>
                <c:pt idx="7">
                  <c:v>19922</c:v>
                </c:pt>
                <c:pt idx="8">
                  <c:v>19923</c:v>
                </c:pt>
                <c:pt idx="9">
                  <c:v>19924</c:v>
                </c:pt>
                <c:pt idx="10">
                  <c:v>19931</c:v>
                </c:pt>
                <c:pt idx="11">
                  <c:v>19932</c:v>
                </c:pt>
                <c:pt idx="12">
                  <c:v>19933</c:v>
                </c:pt>
                <c:pt idx="13">
                  <c:v>19934</c:v>
                </c:pt>
                <c:pt idx="14">
                  <c:v>19941</c:v>
                </c:pt>
                <c:pt idx="15">
                  <c:v>19942</c:v>
                </c:pt>
                <c:pt idx="16">
                  <c:v>19943</c:v>
                </c:pt>
                <c:pt idx="17">
                  <c:v>19944</c:v>
                </c:pt>
                <c:pt idx="18">
                  <c:v>19951</c:v>
                </c:pt>
                <c:pt idx="19">
                  <c:v>19952</c:v>
                </c:pt>
                <c:pt idx="20">
                  <c:v>19953</c:v>
                </c:pt>
                <c:pt idx="21">
                  <c:v>19954</c:v>
                </c:pt>
                <c:pt idx="22">
                  <c:v>19961</c:v>
                </c:pt>
                <c:pt idx="23">
                  <c:v>19962</c:v>
                </c:pt>
                <c:pt idx="24">
                  <c:v>19963</c:v>
                </c:pt>
                <c:pt idx="25">
                  <c:v>19964</c:v>
                </c:pt>
                <c:pt idx="26">
                  <c:v>19971</c:v>
                </c:pt>
                <c:pt idx="27">
                  <c:v>19972</c:v>
                </c:pt>
                <c:pt idx="28">
                  <c:v>19973</c:v>
                </c:pt>
                <c:pt idx="29">
                  <c:v>19974</c:v>
                </c:pt>
                <c:pt idx="30">
                  <c:v>19981</c:v>
                </c:pt>
                <c:pt idx="31">
                  <c:v>19982</c:v>
                </c:pt>
                <c:pt idx="32">
                  <c:v>19983</c:v>
                </c:pt>
                <c:pt idx="33">
                  <c:v>19984</c:v>
                </c:pt>
                <c:pt idx="34">
                  <c:v>19991</c:v>
                </c:pt>
                <c:pt idx="35">
                  <c:v>19992</c:v>
                </c:pt>
                <c:pt idx="36">
                  <c:v>19993</c:v>
                </c:pt>
                <c:pt idx="37">
                  <c:v>19994</c:v>
                </c:pt>
                <c:pt idx="38">
                  <c:v>20001</c:v>
                </c:pt>
                <c:pt idx="39">
                  <c:v>20002</c:v>
                </c:pt>
                <c:pt idx="40">
                  <c:v>20003</c:v>
                </c:pt>
                <c:pt idx="41">
                  <c:v>20004</c:v>
                </c:pt>
                <c:pt idx="42">
                  <c:v>20011</c:v>
                </c:pt>
                <c:pt idx="43">
                  <c:v>20012</c:v>
                </c:pt>
                <c:pt idx="44">
                  <c:v>20013</c:v>
                </c:pt>
                <c:pt idx="45">
                  <c:v>20014</c:v>
                </c:pt>
                <c:pt idx="46">
                  <c:v>20021</c:v>
                </c:pt>
                <c:pt idx="47">
                  <c:v>20022</c:v>
                </c:pt>
                <c:pt idx="48">
                  <c:v>20023</c:v>
                </c:pt>
                <c:pt idx="49">
                  <c:v>20024</c:v>
                </c:pt>
                <c:pt idx="50">
                  <c:v>20031</c:v>
                </c:pt>
                <c:pt idx="51">
                  <c:v>20032</c:v>
                </c:pt>
                <c:pt idx="52">
                  <c:v>20033</c:v>
                </c:pt>
                <c:pt idx="53">
                  <c:v>20034</c:v>
                </c:pt>
                <c:pt idx="54">
                  <c:v>20041</c:v>
                </c:pt>
                <c:pt idx="55">
                  <c:v>20042</c:v>
                </c:pt>
                <c:pt idx="56">
                  <c:v>20043</c:v>
                </c:pt>
                <c:pt idx="57">
                  <c:v>20044</c:v>
                </c:pt>
                <c:pt idx="58">
                  <c:v>20051</c:v>
                </c:pt>
                <c:pt idx="59">
                  <c:v>20052</c:v>
                </c:pt>
                <c:pt idx="60">
                  <c:v>20053</c:v>
                </c:pt>
                <c:pt idx="61">
                  <c:v>20054</c:v>
                </c:pt>
                <c:pt idx="62">
                  <c:v>20061</c:v>
                </c:pt>
                <c:pt idx="63">
                  <c:v>20062</c:v>
                </c:pt>
                <c:pt idx="64">
                  <c:v>20063</c:v>
                </c:pt>
                <c:pt idx="65">
                  <c:v>20064</c:v>
                </c:pt>
                <c:pt idx="66">
                  <c:v>20071</c:v>
                </c:pt>
                <c:pt idx="67">
                  <c:v>20072</c:v>
                </c:pt>
                <c:pt idx="68">
                  <c:v>20073</c:v>
                </c:pt>
                <c:pt idx="69">
                  <c:v>20074</c:v>
                </c:pt>
                <c:pt idx="70">
                  <c:v>20081</c:v>
                </c:pt>
                <c:pt idx="71">
                  <c:v>20082</c:v>
                </c:pt>
                <c:pt idx="72">
                  <c:v>20083</c:v>
                </c:pt>
                <c:pt idx="73">
                  <c:v>20084</c:v>
                </c:pt>
                <c:pt idx="74">
                  <c:v>20091</c:v>
                </c:pt>
                <c:pt idx="75">
                  <c:v>20092</c:v>
                </c:pt>
                <c:pt idx="76">
                  <c:v>20093</c:v>
                </c:pt>
                <c:pt idx="77">
                  <c:v>20094</c:v>
                </c:pt>
                <c:pt idx="78">
                  <c:v>20101</c:v>
                </c:pt>
                <c:pt idx="79">
                  <c:v>20102</c:v>
                </c:pt>
                <c:pt idx="80">
                  <c:v>20103</c:v>
                </c:pt>
                <c:pt idx="81">
                  <c:v>20104</c:v>
                </c:pt>
                <c:pt idx="82">
                  <c:v>20111</c:v>
                </c:pt>
                <c:pt idx="83">
                  <c:v>20112</c:v>
                </c:pt>
                <c:pt idx="84">
                  <c:v>20113</c:v>
                </c:pt>
                <c:pt idx="85">
                  <c:v>20114</c:v>
                </c:pt>
                <c:pt idx="86">
                  <c:v>20121</c:v>
                </c:pt>
                <c:pt idx="87">
                  <c:v>20122</c:v>
                </c:pt>
                <c:pt idx="88">
                  <c:v>20123</c:v>
                </c:pt>
                <c:pt idx="89">
                  <c:v>20124</c:v>
                </c:pt>
                <c:pt idx="90">
                  <c:v>20131</c:v>
                </c:pt>
                <c:pt idx="91">
                  <c:v>20132</c:v>
                </c:pt>
                <c:pt idx="92">
                  <c:v>20133</c:v>
                </c:pt>
                <c:pt idx="93">
                  <c:v>20134</c:v>
                </c:pt>
                <c:pt idx="94">
                  <c:v>20141</c:v>
                </c:pt>
                <c:pt idx="95">
                  <c:v>20142</c:v>
                </c:pt>
              </c:numCache>
            </c:numRef>
          </c:cat>
          <c:val>
            <c:numRef>
              <c:f>Figures!$C$199:$C$294</c:f>
              <c:numCache>
                <c:formatCode>General</c:formatCode>
                <c:ptCount val="96"/>
                <c:pt idx="0">
                  <c:v>9.06</c:v>
                </c:pt>
                <c:pt idx="1">
                  <c:v>8.27</c:v>
                </c:pt>
                <c:pt idx="2">
                  <c:v>8.5400000000000009</c:v>
                </c:pt>
                <c:pt idx="3">
                  <c:v>8.73</c:v>
                </c:pt>
                <c:pt idx="4">
                  <c:v>8.99</c:v>
                </c:pt>
                <c:pt idx="5">
                  <c:v>8.89</c:v>
                </c:pt>
                <c:pt idx="6">
                  <c:v>8.93</c:v>
                </c:pt>
                <c:pt idx="7">
                  <c:v>9.83</c:v>
                </c:pt>
                <c:pt idx="8">
                  <c:v>9.01</c:v>
                </c:pt>
                <c:pt idx="9">
                  <c:v>9.3000000000000007</c:v>
                </c:pt>
                <c:pt idx="10">
                  <c:v>9.77</c:v>
                </c:pt>
                <c:pt idx="11">
                  <c:v>10.16</c:v>
                </c:pt>
                <c:pt idx="12">
                  <c:v>9.7100000000000009</c:v>
                </c:pt>
                <c:pt idx="13">
                  <c:v>8.9500000000000028</c:v>
                </c:pt>
                <c:pt idx="14">
                  <c:v>8.0300000000000011</c:v>
                </c:pt>
                <c:pt idx="15">
                  <c:v>9.82</c:v>
                </c:pt>
                <c:pt idx="16">
                  <c:v>9.4600000000000026</c:v>
                </c:pt>
                <c:pt idx="17">
                  <c:v>8.6</c:v>
                </c:pt>
                <c:pt idx="18">
                  <c:v>9.3500000000000032</c:v>
                </c:pt>
                <c:pt idx="19">
                  <c:v>9.3800000000000008</c:v>
                </c:pt>
                <c:pt idx="20">
                  <c:v>9.69</c:v>
                </c:pt>
                <c:pt idx="21">
                  <c:v>9.4</c:v>
                </c:pt>
                <c:pt idx="22">
                  <c:v>9.52</c:v>
                </c:pt>
                <c:pt idx="23">
                  <c:v>9.120000000000001</c:v>
                </c:pt>
                <c:pt idx="24">
                  <c:v>9.3700000000000028</c:v>
                </c:pt>
                <c:pt idx="25">
                  <c:v>9.41</c:v>
                </c:pt>
                <c:pt idx="26">
                  <c:v>8.99</c:v>
                </c:pt>
                <c:pt idx="27">
                  <c:v>9.19</c:v>
                </c:pt>
                <c:pt idx="28">
                  <c:v>8.8500000000000032</c:v>
                </c:pt>
                <c:pt idx="29">
                  <c:v>8.75</c:v>
                </c:pt>
                <c:pt idx="30">
                  <c:v>8.6300000000000008</c:v>
                </c:pt>
                <c:pt idx="31">
                  <c:v>8.41</c:v>
                </c:pt>
                <c:pt idx="32">
                  <c:v>8.31</c:v>
                </c:pt>
                <c:pt idx="33">
                  <c:v>8.49</c:v>
                </c:pt>
                <c:pt idx="34">
                  <c:v>8.51</c:v>
                </c:pt>
                <c:pt idx="35">
                  <c:v>8.73</c:v>
                </c:pt>
                <c:pt idx="36">
                  <c:v>9.06</c:v>
                </c:pt>
                <c:pt idx="37">
                  <c:v>9.01</c:v>
                </c:pt>
                <c:pt idx="38">
                  <c:v>9.11</c:v>
                </c:pt>
                <c:pt idx="39">
                  <c:v>8.84</c:v>
                </c:pt>
                <c:pt idx="40">
                  <c:v>8.75</c:v>
                </c:pt>
                <c:pt idx="41">
                  <c:v>9.2100000000000009</c:v>
                </c:pt>
                <c:pt idx="42">
                  <c:v>9.69</c:v>
                </c:pt>
                <c:pt idx="43">
                  <c:v>8.4500000000000028</c:v>
                </c:pt>
                <c:pt idx="44">
                  <c:v>8.7800000000000011</c:v>
                </c:pt>
                <c:pt idx="45">
                  <c:v>8.7200000000000024</c:v>
                </c:pt>
                <c:pt idx="46">
                  <c:v>8.8500000000000032</c:v>
                </c:pt>
                <c:pt idx="47">
                  <c:v>8.620000000000001</c:v>
                </c:pt>
                <c:pt idx="48">
                  <c:v>8.620000000000001</c:v>
                </c:pt>
                <c:pt idx="49">
                  <c:v>8.5550000000000033</c:v>
                </c:pt>
                <c:pt idx="50">
                  <c:v>8.49</c:v>
                </c:pt>
                <c:pt idx="51">
                  <c:v>7.8599999999999985</c:v>
                </c:pt>
                <c:pt idx="52">
                  <c:v>7.48</c:v>
                </c:pt>
                <c:pt idx="53">
                  <c:v>7.3599999999999985</c:v>
                </c:pt>
                <c:pt idx="54">
                  <c:v>7.51</c:v>
                </c:pt>
                <c:pt idx="55">
                  <c:v>7.1599999999999984</c:v>
                </c:pt>
                <c:pt idx="56">
                  <c:v>6.67</c:v>
                </c:pt>
                <c:pt idx="57">
                  <c:v>7.03</c:v>
                </c:pt>
                <c:pt idx="58">
                  <c:v>6.6199999999999983</c:v>
                </c:pt>
                <c:pt idx="59">
                  <c:v>6.4300000000000015</c:v>
                </c:pt>
                <c:pt idx="60">
                  <c:v>6.07</c:v>
                </c:pt>
                <c:pt idx="61">
                  <c:v>5.89</c:v>
                </c:pt>
                <c:pt idx="62">
                  <c:v>6.1</c:v>
                </c:pt>
                <c:pt idx="63">
                  <c:v>6.22</c:v>
                </c:pt>
                <c:pt idx="64">
                  <c:v>6.02</c:v>
                </c:pt>
                <c:pt idx="65">
                  <c:v>5.73</c:v>
                </c:pt>
                <c:pt idx="66">
                  <c:v>6.4700000000000015</c:v>
                </c:pt>
                <c:pt idx="67">
                  <c:v>5.4300000000000015</c:v>
                </c:pt>
                <c:pt idx="68">
                  <c:v>5.88</c:v>
                </c:pt>
                <c:pt idx="69">
                  <c:v>5.46</c:v>
                </c:pt>
                <c:pt idx="70">
                  <c:v>5.75</c:v>
                </c:pt>
                <c:pt idx="71">
                  <c:v>6.67</c:v>
                </c:pt>
                <c:pt idx="72">
                  <c:v>6.46</c:v>
                </c:pt>
                <c:pt idx="73">
                  <c:v>6.99</c:v>
                </c:pt>
                <c:pt idx="74">
                  <c:v>7.41</c:v>
                </c:pt>
                <c:pt idx="75">
                  <c:v>8.0500000000000007</c:v>
                </c:pt>
                <c:pt idx="76">
                  <c:v>8.4600000000000026</c:v>
                </c:pt>
                <c:pt idx="77">
                  <c:v>8.41</c:v>
                </c:pt>
                <c:pt idx="78">
                  <c:v>7.6899999999999995</c:v>
                </c:pt>
                <c:pt idx="79">
                  <c:v>7.26</c:v>
                </c:pt>
                <c:pt idx="80">
                  <c:v>7.17</c:v>
                </c:pt>
                <c:pt idx="81">
                  <c:v>7</c:v>
                </c:pt>
                <c:pt idx="82">
                  <c:v>6.96</c:v>
                </c:pt>
                <c:pt idx="83">
                  <c:v>6.5</c:v>
                </c:pt>
                <c:pt idx="84">
                  <c:v>6.56</c:v>
                </c:pt>
                <c:pt idx="85">
                  <c:v>6.1099999999999985</c:v>
                </c:pt>
                <c:pt idx="86">
                  <c:v>6.6099999999999985</c:v>
                </c:pt>
                <c:pt idx="87">
                  <c:v>6.34</c:v>
                </c:pt>
                <c:pt idx="88">
                  <c:v>6.1</c:v>
                </c:pt>
                <c:pt idx="89">
                  <c:v>6.6</c:v>
                </c:pt>
                <c:pt idx="90">
                  <c:v>6.38</c:v>
                </c:pt>
                <c:pt idx="91">
                  <c:v>6.6199999999999983</c:v>
                </c:pt>
                <c:pt idx="92">
                  <c:v>6.1499999999999995</c:v>
                </c:pt>
                <c:pt idx="93">
                  <c:v>6.3</c:v>
                </c:pt>
                <c:pt idx="94">
                  <c:v>6.48</c:v>
                </c:pt>
                <c:pt idx="95">
                  <c:v>6.23</c:v>
                </c:pt>
              </c:numCache>
            </c:numRef>
          </c:val>
        </c:ser>
        <c:marker val="1"/>
        <c:axId val="114897664"/>
        <c:axId val="114899200"/>
      </c:lineChart>
      <c:catAx>
        <c:axId val="114897664"/>
        <c:scaling>
          <c:orientation val="minMax"/>
        </c:scaling>
        <c:axPos val="b"/>
        <c:numFmt formatCode="General" sourceLinked="1"/>
        <c:tickLblPos val="nextTo"/>
        <c:crossAx val="114899200"/>
        <c:crosses val="autoZero"/>
        <c:auto val="1"/>
        <c:lblAlgn val="ctr"/>
        <c:lblOffset val="100"/>
      </c:catAx>
      <c:valAx>
        <c:axId val="114899200"/>
        <c:scaling>
          <c:orientation val="minMax"/>
        </c:scaling>
        <c:axPos val="l"/>
        <c:title>
          <c:tx>
            <c:rich>
              <a:bodyPr rot="-5400000" vert="horz"/>
              <a:lstStyle/>
              <a:p>
                <a:pPr>
                  <a:defRPr/>
                </a:pPr>
                <a:r>
                  <a:rPr lang="en-US"/>
                  <a:t>Yields </a:t>
                </a:r>
              </a:p>
              <a:p>
                <a:pPr>
                  <a:defRPr/>
                </a:pPr>
                <a:r>
                  <a:rPr lang="en-US" b="0"/>
                  <a:t>(%)</a:t>
                </a:r>
              </a:p>
            </c:rich>
          </c:tx>
        </c:title>
        <c:numFmt formatCode="General" sourceLinked="1"/>
        <c:tickLblPos val="nextTo"/>
        <c:crossAx val="114897664"/>
        <c:crosses val="autoZero"/>
        <c:crossBetween val="between"/>
      </c:valAx>
      <c:valAx>
        <c:axId val="114901376"/>
        <c:scaling>
          <c:orientation val="minMax"/>
          <c:max val="0.5"/>
        </c:scaling>
        <c:axPos val="r"/>
        <c:title>
          <c:tx>
            <c:rich>
              <a:bodyPr rot="-5400000" vert="horz"/>
              <a:lstStyle/>
              <a:p>
                <a:pPr>
                  <a:defRPr/>
                </a:pPr>
                <a:r>
                  <a:rPr lang="en-US"/>
                  <a:t>CRE Debt </a:t>
                </a:r>
              </a:p>
              <a:p>
                <a:pPr>
                  <a:defRPr/>
                </a:pPr>
                <a:r>
                  <a:rPr lang="en-US" b="0"/>
                  <a:t>(% of GDP)</a:t>
                </a:r>
              </a:p>
            </c:rich>
          </c:tx>
        </c:title>
        <c:numFmt formatCode="0%" sourceLinked="1"/>
        <c:tickLblPos val="nextTo"/>
        <c:crossAx val="114903296"/>
        <c:crosses val="max"/>
        <c:crossBetween val="between"/>
        <c:majorUnit val="0.1"/>
      </c:valAx>
      <c:catAx>
        <c:axId val="114903296"/>
        <c:scaling>
          <c:orientation val="minMax"/>
        </c:scaling>
        <c:delete val="1"/>
        <c:axPos val="b"/>
        <c:tickLblPos val="none"/>
        <c:crossAx val="114901376"/>
        <c:crosses val="autoZero"/>
        <c:auto val="1"/>
        <c:lblAlgn val="ctr"/>
        <c:lblOffset val="100"/>
      </c:catAx>
    </c:plotArea>
    <c:legend>
      <c:legendPos val="b"/>
    </c:legend>
    <c:plotVisOnly val="1"/>
    <c:dispBlanksAs val="gap"/>
  </c:chart>
  <c:spPr>
    <a:ln>
      <a:noFill/>
    </a:ln>
  </c:spPr>
  <c:txPr>
    <a:bodyPr/>
    <a:lstStyle/>
    <a:p>
      <a:pPr>
        <a:defRPr sz="1000">
          <a:latin typeface="Times New Roman" panose="02020603050405020304" pitchFamily="18" charset="0"/>
          <a:cs typeface="Times New Roman" panose="02020603050405020304" pitchFamily="18" charset="0"/>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000"/>
            </a:pPr>
            <a:r>
              <a:rPr lang="en-US" sz="1000" b="1" i="0"/>
              <a:t>A. </a:t>
            </a:r>
            <a:r>
              <a:rPr lang="en-US" sz="1000" i="1"/>
              <a:t>Impulse:</a:t>
            </a:r>
            <a:r>
              <a:rPr lang="en-US" sz="1000"/>
              <a:t> Income Return</a:t>
            </a:r>
          </a:p>
        </c:rich>
      </c:tx>
      <c:overlay val="1"/>
    </c:title>
    <c:plotArea>
      <c:layout/>
      <c:lineChart>
        <c:grouping val="standard"/>
        <c:ser>
          <c:idx val="2"/>
          <c:order val="0"/>
          <c:tx>
            <c:v>VECM</c:v>
          </c:tx>
          <c:spPr>
            <a:ln w="25400">
              <a:solidFill>
                <a:schemeClr val="accent3">
                  <a:lumMod val="75000"/>
                </a:schemeClr>
              </a:solidFill>
            </a:ln>
          </c:spPr>
          <c:marker>
            <c:symbol val="none"/>
          </c:marker>
          <c:cat>
            <c:numRef>
              <c:f>'IRF Figures.2'!$I$2:$I$14</c:f>
              <c:numCache>
                <c:formatCode>General</c:formatCode>
                <c:ptCount val="13"/>
                <c:pt idx="0">
                  <c:v>0</c:v>
                </c:pt>
                <c:pt idx="1">
                  <c:v>1</c:v>
                </c:pt>
                <c:pt idx="2">
                  <c:v>2</c:v>
                </c:pt>
                <c:pt idx="3">
                  <c:v>3</c:v>
                </c:pt>
                <c:pt idx="4">
                  <c:v>4</c:v>
                </c:pt>
                <c:pt idx="5">
                  <c:v>5</c:v>
                </c:pt>
                <c:pt idx="6">
                  <c:v>6</c:v>
                </c:pt>
                <c:pt idx="7">
                  <c:v>7</c:v>
                </c:pt>
                <c:pt idx="8">
                  <c:v>8</c:v>
                </c:pt>
                <c:pt idx="9">
                  <c:v>9</c:v>
                </c:pt>
                <c:pt idx="10">
                  <c:v>10</c:v>
                </c:pt>
                <c:pt idx="11">
                  <c:v>11</c:v>
                </c:pt>
                <c:pt idx="12">
                  <c:v>12</c:v>
                </c:pt>
              </c:numCache>
            </c:numRef>
          </c:cat>
          <c:val>
            <c:numRef>
              <c:f>'IRF Figures.2'!$J$80:$J$92</c:f>
              <c:numCache>
                <c:formatCode>General</c:formatCode>
                <c:ptCount val="13"/>
                <c:pt idx="0">
                  <c:v>-6.278000000000003E-2</c:v>
                </c:pt>
                <c:pt idx="1">
                  <c:v>-4.4810000000000023E-2</c:v>
                </c:pt>
                <c:pt idx="2">
                  <c:v>-3.1380000000000005E-2</c:v>
                </c:pt>
                <c:pt idx="3">
                  <c:v>-2.1329999999999998E-2</c:v>
                </c:pt>
                <c:pt idx="4">
                  <c:v>-1.3820000000000004E-2</c:v>
                </c:pt>
                <c:pt idx="5">
                  <c:v>-8.2100000000000003E-3</c:v>
                </c:pt>
                <c:pt idx="6">
                  <c:v>-4.0100000000000014E-3</c:v>
                </c:pt>
                <c:pt idx="7">
                  <c:v>-8.7000000000000033E-4</c:v>
                </c:pt>
                <c:pt idx="8">
                  <c:v>1.4700000000000004E-3</c:v>
                </c:pt>
                <c:pt idx="9">
                  <c:v>3.2300000000000015E-3</c:v>
                </c:pt>
                <c:pt idx="10">
                  <c:v>4.5400000000000015E-3</c:v>
                </c:pt>
                <c:pt idx="11">
                  <c:v>5.5200000000000015E-3</c:v>
                </c:pt>
                <c:pt idx="12">
                  <c:v>6.2500000000000021E-3</c:v>
                </c:pt>
              </c:numCache>
            </c:numRef>
          </c:val>
        </c:ser>
        <c:ser>
          <c:idx val="6"/>
          <c:order val="1"/>
          <c:tx>
            <c:v>VAR:3</c:v>
          </c:tx>
          <c:spPr>
            <a:ln w="25400">
              <a:solidFill>
                <a:schemeClr val="accent1">
                  <a:lumMod val="75000"/>
                </a:schemeClr>
              </a:solidFill>
            </a:ln>
          </c:spPr>
          <c:marker>
            <c:symbol val="none"/>
          </c:marker>
          <c:cat>
            <c:numRef>
              <c:f>'IRF Figures.2'!$I$2:$I$14</c:f>
              <c:numCache>
                <c:formatCode>General</c:formatCode>
                <c:ptCount val="13"/>
                <c:pt idx="0">
                  <c:v>0</c:v>
                </c:pt>
                <c:pt idx="1">
                  <c:v>1</c:v>
                </c:pt>
                <c:pt idx="2">
                  <c:v>2</c:v>
                </c:pt>
                <c:pt idx="3">
                  <c:v>3</c:v>
                </c:pt>
                <c:pt idx="4">
                  <c:v>4</c:v>
                </c:pt>
                <c:pt idx="5">
                  <c:v>5</c:v>
                </c:pt>
                <c:pt idx="6">
                  <c:v>6</c:v>
                </c:pt>
                <c:pt idx="7">
                  <c:v>7</c:v>
                </c:pt>
                <c:pt idx="8">
                  <c:v>8</c:v>
                </c:pt>
                <c:pt idx="9">
                  <c:v>9</c:v>
                </c:pt>
                <c:pt idx="10">
                  <c:v>10</c:v>
                </c:pt>
                <c:pt idx="11">
                  <c:v>11</c:v>
                </c:pt>
                <c:pt idx="12">
                  <c:v>12</c:v>
                </c:pt>
              </c:numCache>
            </c:numRef>
          </c:cat>
          <c:val>
            <c:numRef>
              <c:f>'IRF Figures.2'!$AI$80:$AI$92</c:f>
              <c:numCache>
                <c:formatCode>General</c:formatCode>
                <c:ptCount val="13"/>
                <c:pt idx="0">
                  <c:v>-1.7239999999999998E-2</c:v>
                </c:pt>
                <c:pt idx="1">
                  <c:v>1.1039999999999998E-2</c:v>
                </c:pt>
                <c:pt idx="2">
                  <c:v>2.776E-2</c:v>
                </c:pt>
                <c:pt idx="3">
                  <c:v>3.8040000000000004E-2</c:v>
                </c:pt>
                <c:pt idx="4">
                  <c:v>4.4590000000000019E-2</c:v>
                </c:pt>
                <c:pt idx="5">
                  <c:v>4.8880000000000014E-2</c:v>
                </c:pt>
                <c:pt idx="6">
                  <c:v>5.1709999999999999E-2</c:v>
                </c:pt>
                <c:pt idx="7">
                  <c:v>5.3530000000000001E-2</c:v>
                </c:pt>
                <c:pt idx="8">
                  <c:v>5.4600000000000003E-2</c:v>
                </c:pt>
                <c:pt idx="9">
                  <c:v>5.5079999999999997E-2</c:v>
                </c:pt>
                <c:pt idx="10">
                  <c:v>5.5100000000000003E-2</c:v>
                </c:pt>
                <c:pt idx="11">
                  <c:v>5.4730000000000029E-2</c:v>
                </c:pt>
                <c:pt idx="12">
                  <c:v>5.4030000000000022E-2</c:v>
                </c:pt>
              </c:numCache>
            </c:numRef>
          </c:val>
        </c:ser>
        <c:ser>
          <c:idx val="1"/>
          <c:order val="2"/>
          <c:tx>
            <c:v>VAR:4</c:v>
          </c:tx>
          <c:spPr>
            <a:ln w="25400">
              <a:solidFill>
                <a:schemeClr val="accent6">
                  <a:lumMod val="75000"/>
                </a:schemeClr>
              </a:solidFill>
            </a:ln>
          </c:spPr>
          <c:marker>
            <c:symbol val="none"/>
          </c:marker>
          <c:cat>
            <c:numRef>
              <c:f>'IRF Figures.2'!$I$2:$I$14</c:f>
              <c:numCache>
                <c:formatCode>General</c:formatCode>
                <c:ptCount val="13"/>
                <c:pt idx="0">
                  <c:v>0</c:v>
                </c:pt>
                <c:pt idx="1">
                  <c:v>1</c:v>
                </c:pt>
                <c:pt idx="2">
                  <c:v>2</c:v>
                </c:pt>
                <c:pt idx="3">
                  <c:v>3</c:v>
                </c:pt>
                <c:pt idx="4">
                  <c:v>4</c:v>
                </c:pt>
                <c:pt idx="5">
                  <c:v>5</c:v>
                </c:pt>
                <c:pt idx="6">
                  <c:v>6</c:v>
                </c:pt>
                <c:pt idx="7">
                  <c:v>7</c:v>
                </c:pt>
                <c:pt idx="8">
                  <c:v>8</c:v>
                </c:pt>
                <c:pt idx="9">
                  <c:v>9</c:v>
                </c:pt>
                <c:pt idx="10">
                  <c:v>10</c:v>
                </c:pt>
                <c:pt idx="11">
                  <c:v>11</c:v>
                </c:pt>
                <c:pt idx="12">
                  <c:v>12</c:v>
                </c:pt>
              </c:numCache>
            </c:numRef>
          </c:cat>
          <c:val>
            <c:numRef>
              <c:f>'IRF Figures.2'!$BH$80:$BH$92</c:f>
              <c:numCache>
                <c:formatCode>General</c:formatCode>
                <c:ptCount val="13"/>
                <c:pt idx="0">
                  <c:v>-3.8199999999999998E-2</c:v>
                </c:pt>
                <c:pt idx="1">
                  <c:v>-1.4840000000000001E-2</c:v>
                </c:pt>
                <c:pt idx="2">
                  <c:v>-2.3900000000000002E-3</c:v>
                </c:pt>
                <c:pt idx="3">
                  <c:v>5.3400000000000019E-3</c:v>
                </c:pt>
                <c:pt idx="4">
                  <c:v>1.043E-2</c:v>
                </c:pt>
                <c:pt idx="5">
                  <c:v>1.3760000000000005E-2</c:v>
                </c:pt>
                <c:pt idx="6">
                  <c:v>1.5810000000000001E-2</c:v>
                </c:pt>
                <c:pt idx="7">
                  <c:v>1.6910000000000001E-2</c:v>
                </c:pt>
                <c:pt idx="8">
                  <c:v>1.7319999999999999E-2</c:v>
                </c:pt>
                <c:pt idx="9">
                  <c:v>1.7219999999999996E-2</c:v>
                </c:pt>
                <c:pt idx="10">
                  <c:v>1.6780000000000007E-2</c:v>
                </c:pt>
                <c:pt idx="11">
                  <c:v>1.6109999999999999E-2</c:v>
                </c:pt>
                <c:pt idx="12">
                  <c:v>1.5310000000000001E-2</c:v>
                </c:pt>
              </c:numCache>
            </c:numRef>
          </c:val>
        </c:ser>
        <c:ser>
          <c:idx val="0"/>
          <c:order val="3"/>
          <c:spPr>
            <a:ln w="12700">
              <a:solidFill>
                <a:schemeClr val="accent3">
                  <a:lumMod val="75000"/>
                </a:schemeClr>
              </a:solidFill>
              <a:prstDash val="dash"/>
            </a:ln>
          </c:spPr>
          <c:marker>
            <c:symbol val="none"/>
          </c:marker>
          <c:cat>
            <c:numRef>
              <c:f>'IRF Figures.2'!$I$2:$I$14</c:f>
              <c:numCache>
                <c:formatCode>General</c:formatCode>
                <c:ptCount val="13"/>
                <c:pt idx="0">
                  <c:v>0</c:v>
                </c:pt>
                <c:pt idx="1">
                  <c:v>1</c:v>
                </c:pt>
                <c:pt idx="2">
                  <c:v>2</c:v>
                </c:pt>
                <c:pt idx="3">
                  <c:v>3</c:v>
                </c:pt>
                <c:pt idx="4">
                  <c:v>4</c:v>
                </c:pt>
                <c:pt idx="5">
                  <c:v>5</c:v>
                </c:pt>
                <c:pt idx="6">
                  <c:v>6</c:v>
                </c:pt>
                <c:pt idx="7">
                  <c:v>7</c:v>
                </c:pt>
                <c:pt idx="8">
                  <c:v>8</c:v>
                </c:pt>
                <c:pt idx="9">
                  <c:v>9</c:v>
                </c:pt>
                <c:pt idx="10">
                  <c:v>10</c:v>
                </c:pt>
                <c:pt idx="11">
                  <c:v>11</c:v>
                </c:pt>
                <c:pt idx="12">
                  <c:v>12</c:v>
                </c:pt>
              </c:numCache>
            </c:numRef>
          </c:cat>
          <c:val>
            <c:numRef>
              <c:f>'IRF Figures.2'!$V$80:$V$92</c:f>
              <c:numCache>
                <c:formatCode>General</c:formatCode>
                <c:ptCount val="13"/>
                <c:pt idx="0">
                  <c:v>-9.3060000000000032E-2</c:v>
                </c:pt>
                <c:pt idx="1">
                  <c:v>-5.2870000000000014E-2</c:v>
                </c:pt>
                <c:pt idx="2">
                  <c:v>-4.3119999999999999E-2</c:v>
                </c:pt>
                <c:pt idx="3">
                  <c:v>-3.4069999999999996E-2</c:v>
                </c:pt>
                <c:pt idx="4">
                  <c:v>-2.6100000000000002E-2</c:v>
                </c:pt>
                <c:pt idx="5">
                  <c:v>-1.9290000000000009E-2</c:v>
                </c:pt>
                <c:pt idx="6">
                  <c:v>-1.3710000000000003E-2</c:v>
                </c:pt>
                <c:pt idx="7">
                  <c:v>-9.2900000000000049E-3</c:v>
                </c:pt>
                <c:pt idx="8">
                  <c:v>-6.0500000000000016E-3</c:v>
                </c:pt>
                <c:pt idx="9">
                  <c:v>-3.7900000000000021E-3</c:v>
                </c:pt>
                <c:pt idx="10">
                  <c:v>-2.4000000000000002E-3</c:v>
                </c:pt>
                <c:pt idx="11">
                  <c:v>-1.6199999999999999E-3</c:v>
                </c:pt>
                <c:pt idx="12">
                  <c:v>-1.2299999999999989E-3</c:v>
                </c:pt>
              </c:numCache>
            </c:numRef>
          </c:val>
        </c:ser>
        <c:ser>
          <c:idx val="3"/>
          <c:order val="4"/>
          <c:spPr>
            <a:ln w="12700">
              <a:solidFill>
                <a:schemeClr val="accent3">
                  <a:lumMod val="75000"/>
                </a:schemeClr>
              </a:solidFill>
              <a:prstDash val="dash"/>
            </a:ln>
          </c:spPr>
          <c:marker>
            <c:symbol val="none"/>
          </c:marker>
          <c:cat>
            <c:numRef>
              <c:f>'IRF Figures.2'!$I$2:$I$14</c:f>
              <c:numCache>
                <c:formatCode>General</c:formatCode>
                <c:ptCount val="13"/>
                <c:pt idx="0">
                  <c:v>0</c:v>
                </c:pt>
                <c:pt idx="1">
                  <c:v>1</c:v>
                </c:pt>
                <c:pt idx="2">
                  <c:v>2</c:v>
                </c:pt>
                <c:pt idx="3">
                  <c:v>3</c:v>
                </c:pt>
                <c:pt idx="4">
                  <c:v>4</c:v>
                </c:pt>
                <c:pt idx="5">
                  <c:v>5</c:v>
                </c:pt>
                <c:pt idx="6">
                  <c:v>6</c:v>
                </c:pt>
                <c:pt idx="7">
                  <c:v>7</c:v>
                </c:pt>
                <c:pt idx="8">
                  <c:v>8</c:v>
                </c:pt>
                <c:pt idx="9">
                  <c:v>9</c:v>
                </c:pt>
                <c:pt idx="10">
                  <c:v>10</c:v>
                </c:pt>
                <c:pt idx="11">
                  <c:v>11</c:v>
                </c:pt>
                <c:pt idx="12">
                  <c:v>12</c:v>
                </c:pt>
              </c:numCache>
            </c:numRef>
          </c:cat>
          <c:val>
            <c:numRef>
              <c:f>'IRF Figures.2'!$R$80:$R$92</c:f>
              <c:numCache>
                <c:formatCode>General</c:formatCode>
                <c:ptCount val="13"/>
                <c:pt idx="0">
                  <c:v>-3.2500000000000001E-2</c:v>
                </c:pt>
                <c:pt idx="1">
                  <c:v>-3.6750000000000005E-2</c:v>
                </c:pt>
                <c:pt idx="2">
                  <c:v>-1.9640000000000005E-2</c:v>
                </c:pt>
                <c:pt idx="3">
                  <c:v>-8.5900000000000074E-3</c:v>
                </c:pt>
                <c:pt idx="4">
                  <c:v>-1.5400000000000023E-3</c:v>
                </c:pt>
                <c:pt idx="5">
                  <c:v>2.8700000000000002E-3</c:v>
                </c:pt>
                <c:pt idx="6">
                  <c:v>5.6900000000000023E-3</c:v>
                </c:pt>
                <c:pt idx="7">
                  <c:v>7.550000000000002E-3</c:v>
                </c:pt>
                <c:pt idx="8">
                  <c:v>8.9900000000000049E-3</c:v>
                </c:pt>
                <c:pt idx="9">
                  <c:v>1.025E-2</c:v>
                </c:pt>
                <c:pt idx="10">
                  <c:v>1.1480000000000004E-2</c:v>
                </c:pt>
                <c:pt idx="11">
                  <c:v>1.2659999999999998E-2</c:v>
                </c:pt>
                <c:pt idx="12">
                  <c:v>1.3729999999999999E-2</c:v>
                </c:pt>
              </c:numCache>
            </c:numRef>
          </c:val>
        </c:ser>
        <c:ser>
          <c:idx val="4"/>
          <c:order val="5"/>
          <c:spPr>
            <a:ln w="12700">
              <a:solidFill>
                <a:schemeClr val="accent6">
                  <a:lumMod val="75000"/>
                </a:schemeClr>
              </a:solidFill>
              <a:prstDash val="dash"/>
            </a:ln>
          </c:spPr>
          <c:marker>
            <c:symbol val="none"/>
          </c:marker>
          <c:cat>
            <c:numRef>
              <c:f>'IRF Figures.2'!$I$2:$I$14</c:f>
              <c:numCache>
                <c:formatCode>General</c:formatCode>
                <c:ptCount val="13"/>
                <c:pt idx="0">
                  <c:v>0</c:v>
                </c:pt>
                <c:pt idx="1">
                  <c:v>1</c:v>
                </c:pt>
                <c:pt idx="2">
                  <c:v>2</c:v>
                </c:pt>
                <c:pt idx="3">
                  <c:v>3</c:v>
                </c:pt>
                <c:pt idx="4">
                  <c:v>4</c:v>
                </c:pt>
                <c:pt idx="5">
                  <c:v>5</c:v>
                </c:pt>
                <c:pt idx="6">
                  <c:v>6</c:v>
                </c:pt>
                <c:pt idx="7">
                  <c:v>7</c:v>
                </c:pt>
                <c:pt idx="8">
                  <c:v>8</c:v>
                </c:pt>
                <c:pt idx="9">
                  <c:v>9</c:v>
                </c:pt>
                <c:pt idx="10">
                  <c:v>10</c:v>
                </c:pt>
                <c:pt idx="11">
                  <c:v>11</c:v>
                </c:pt>
                <c:pt idx="12">
                  <c:v>12</c:v>
                </c:pt>
              </c:numCache>
            </c:numRef>
          </c:cat>
          <c:val>
            <c:numRef>
              <c:f>'IRF Figures.2'!$BP$80:$BP$92</c:f>
              <c:numCache>
                <c:formatCode>General</c:formatCode>
                <c:ptCount val="13"/>
                <c:pt idx="0">
                  <c:v>-7.6599999999999984E-3</c:v>
                </c:pt>
                <c:pt idx="1">
                  <c:v>7.8200000000000023E-3</c:v>
                </c:pt>
                <c:pt idx="2">
                  <c:v>2.9650000000000006E-2</c:v>
                </c:pt>
                <c:pt idx="3">
                  <c:v>4.3779999999999999E-2</c:v>
                </c:pt>
                <c:pt idx="4">
                  <c:v>5.3870000000000001E-2</c:v>
                </c:pt>
                <c:pt idx="5">
                  <c:v>6.1159999999999985E-2</c:v>
                </c:pt>
                <c:pt idx="6">
                  <c:v>6.6409999999999997E-2</c:v>
                </c:pt>
                <c:pt idx="7">
                  <c:v>7.0150000000000004E-2</c:v>
                </c:pt>
                <c:pt idx="8">
                  <c:v>7.2820000000000024E-2</c:v>
                </c:pt>
                <c:pt idx="9">
                  <c:v>7.4639999999999998E-2</c:v>
                </c:pt>
                <c:pt idx="10">
                  <c:v>7.580000000000002E-2</c:v>
                </c:pt>
                <c:pt idx="11">
                  <c:v>7.6429999999999998E-2</c:v>
                </c:pt>
                <c:pt idx="12">
                  <c:v>7.6590000000000019E-2</c:v>
                </c:pt>
              </c:numCache>
            </c:numRef>
          </c:val>
        </c:ser>
        <c:ser>
          <c:idx val="5"/>
          <c:order val="6"/>
          <c:spPr>
            <a:ln w="12700">
              <a:solidFill>
                <a:schemeClr val="accent6">
                  <a:lumMod val="75000"/>
                </a:schemeClr>
              </a:solidFill>
              <a:prstDash val="dash"/>
            </a:ln>
          </c:spPr>
          <c:marker>
            <c:symbol val="none"/>
          </c:marker>
          <c:cat>
            <c:numRef>
              <c:f>'IRF Figures.2'!$I$2:$I$14</c:f>
              <c:numCache>
                <c:formatCode>General</c:formatCode>
                <c:ptCount val="13"/>
                <c:pt idx="0">
                  <c:v>0</c:v>
                </c:pt>
                <c:pt idx="1">
                  <c:v>1</c:v>
                </c:pt>
                <c:pt idx="2">
                  <c:v>2</c:v>
                </c:pt>
                <c:pt idx="3">
                  <c:v>3</c:v>
                </c:pt>
                <c:pt idx="4">
                  <c:v>4</c:v>
                </c:pt>
                <c:pt idx="5">
                  <c:v>5</c:v>
                </c:pt>
                <c:pt idx="6">
                  <c:v>6</c:v>
                </c:pt>
                <c:pt idx="7">
                  <c:v>7</c:v>
                </c:pt>
                <c:pt idx="8">
                  <c:v>8</c:v>
                </c:pt>
                <c:pt idx="9">
                  <c:v>9</c:v>
                </c:pt>
                <c:pt idx="10">
                  <c:v>10</c:v>
                </c:pt>
                <c:pt idx="11">
                  <c:v>11</c:v>
                </c:pt>
                <c:pt idx="12">
                  <c:v>12</c:v>
                </c:pt>
              </c:numCache>
            </c:numRef>
          </c:cat>
          <c:val>
            <c:numRef>
              <c:f>'IRF Figures.2'!$BT$80:$BT$92</c:f>
              <c:numCache>
                <c:formatCode>General</c:formatCode>
                <c:ptCount val="13"/>
                <c:pt idx="0">
                  <c:v>-6.8740000000000009E-2</c:v>
                </c:pt>
                <c:pt idx="1">
                  <c:v>-3.7500000000000006E-2</c:v>
                </c:pt>
                <c:pt idx="2">
                  <c:v>-3.4430000000000002E-2</c:v>
                </c:pt>
                <c:pt idx="3">
                  <c:v>-3.3100000000000004E-2</c:v>
                </c:pt>
                <c:pt idx="4">
                  <c:v>-3.3009999999999998E-2</c:v>
                </c:pt>
                <c:pt idx="5">
                  <c:v>-3.3639999999999996E-2</c:v>
                </c:pt>
                <c:pt idx="6">
                  <c:v>-3.4790000000000001E-2</c:v>
                </c:pt>
                <c:pt idx="7">
                  <c:v>-3.6330000000000001E-2</c:v>
                </c:pt>
                <c:pt idx="8">
                  <c:v>-3.8180000000000006E-2</c:v>
                </c:pt>
                <c:pt idx="9">
                  <c:v>-4.02E-2</c:v>
                </c:pt>
                <c:pt idx="10">
                  <c:v>-4.224E-2</c:v>
                </c:pt>
                <c:pt idx="11">
                  <c:v>-4.4209999999999999E-2</c:v>
                </c:pt>
                <c:pt idx="12">
                  <c:v>-4.5969999999999997E-2</c:v>
                </c:pt>
              </c:numCache>
            </c:numRef>
          </c:val>
        </c:ser>
        <c:ser>
          <c:idx val="7"/>
          <c:order val="7"/>
          <c:spPr>
            <a:ln w="12700">
              <a:solidFill>
                <a:schemeClr val="accent1">
                  <a:lumMod val="75000"/>
                </a:schemeClr>
              </a:solidFill>
              <a:prstDash val="dash"/>
            </a:ln>
          </c:spPr>
          <c:marker>
            <c:symbol val="none"/>
          </c:marker>
          <c:cat>
            <c:numRef>
              <c:f>'IRF Figures.2'!$I$2:$I$14</c:f>
              <c:numCache>
                <c:formatCode>General</c:formatCode>
                <c:ptCount val="13"/>
                <c:pt idx="0">
                  <c:v>0</c:v>
                </c:pt>
                <c:pt idx="1">
                  <c:v>1</c:v>
                </c:pt>
                <c:pt idx="2">
                  <c:v>2</c:v>
                </c:pt>
                <c:pt idx="3">
                  <c:v>3</c:v>
                </c:pt>
                <c:pt idx="4">
                  <c:v>4</c:v>
                </c:pt>
                <c:pt idx="5">
                  <c:v>5</c:v>
                </c:pt>
                <c:pt idx="6">
                  <c:v>6</c:v>
                </c:pt>
                <c:pt idx="7">
                  <c:v>7</c:v>
                </c:pt>
                <c:pt idx="8">
                  <c:v>8</c:v>
                </c:pt>
                <c:pt idx="9">
                  <c:v>9</c:v>
                </c:pt>
                <c:pt idx="10">
                  <c:v>10</c:v>
                </c:pt>
                <c:pt idx="11">
                  <c:v>11</c:v>
                </c:pt>
                <c:pt idx="12">
                  <c:v>12</c:v>
                </c:pt>
              </c:numCache>
            </c:numRef>
          </c:cat>
          <c:val>
            <c:numRef>
              <c:f>'IRF Figures.2'!$AQ$80:$AQ$92</c:f>
              <c:numCache>
                <c:formatCode>General</c:formatCode>
                <c:ptCount val="13"/>
                <c:pt idx="0">
                  <c:v>1.3620000000000005E-2</c:v>
                </c:pt>
                <c:pt idx="1">
                  <c:v>3.2619999999999996E-2</c:v>
                </c:pt>
                <c:pt idx="2">
                  <c:v>6.236000000000002E-2</c:v>
                </c:pt>
                <c:pt idx="3">
                  <c:v>8.2140000000000032E-2</c:v>
                </c:pt>
                <c:pt idx="4">
                  <c:v>9.6230000000000024E-2</c:v>
                </c:pt>
                <c:pt idx="5">
                  <c:v>0.10652000000000003</c:v>
                </c:pt>
                <c:pt idx="6">
                  <c:v>0.11402999999999998</c:v>
                </c:pt>
                <c:pt idx="7">
                  <c:v>0.11927000000000004</c:v>
                </c:pt>
                <c:pt idx="8">
                  <c:v>0.12262000000000005</c:v>
                </c:pt>
                <c:pt idx="9">
                  <c:v>0.12434000000000002</c:v>
                </c:pt>
                <c:pt idx="10">
                  <c:v>0.12468000000000004</c:v>
                </c:pt>
                <c:pt idx="11">
                  <c:v>0.12377000000000005</c:v>
                </c:pt>
                <c:pt idx="12">
                  <c:v>0.12182999999999998</c:v>
                </c:pt>
              </c:numCache>
            </c:numRef>
          </c:val>
        </c:ser>
        <c:ser>
          <c:idx val="10"/>
          <c:order val="8"/>
          <c:spPr>
            <a:ln w="12700">
              <a:solidFill>
                <a:schemeClr val="accent1">
                  <a:lumMod val="75000"/>
                </a:schemeClr>
              </a:solidFill>
              <a:prstDash val="dash"/>
            </a:ln>
          </c:spPr>
          <c:marker>
            <c:symbol val="none"/>
          </c:marker>
          <c:cat>
            <c:numRef>
              <c:f>'IRF Figures.2'!$I$2:$I$14</c:f>
              <c:numCache>
                <c:formatCode>General</c:formatCode>
                <c:ptCount val="13"/>
                <c:pt idx="0">
                  <c:v>0</c:v>
                </c:pt>
                <c:pt idx="1">
                  <c:v>1</c:v>
                </c:pt>
                <c:pt idx="2">
                  <c:v>2</c:v>
                </c:pt>
                <c:pt idx="3">
                  <c:v>3</c:v>
                </c:pt>
                <c:pt idx="4">
                  <c:v>4</c:v>
                </c:pt>
                <c:pt idx="5">
                  <c:v>5</c:v>
                </c:pt>
                <c:pt idx="6">
                  <c:v>6</c:v>
                </c:pt>
                <c:pt idx="7">
                  <c:v>7</c:v>
                </c:pt>
                <c:pt idx="8">
                  <c:v>8</c:v>
                </c:pt>
                <c:pt idx="9">
                  <c:v>9</c:v>
                </c:pt>
                <c:pt idx="10">
                  <c:v>10</c:v>
                </c:pt>
                <c:pt idx="11">
                  <c:v>11</c:v>
                </c:pt>
                <c:pt idx="12">
                  <c:v>12</c:v>
                </c:pt>
              </c:numCache>
            </c:numRef>
          </c:cat>
          <c:val>
            <c:numRef>
              <c:f>'IRF Figures.2'!$AU$80:$AU$92</c:f>
              <c:numCache>
                <c:formatCode>General</c:formatCode>
                <c:ptCount val="13"/>
                <c:pt idx="0">
                  <c:v>-4.8100000000000004E-2</c:v>
                </c:pt>
                <c:pt idx="1">
                  <c:v>-1.0539999999999996E-2</c:v>
                </c:pt>
                <c:pt idx="2">
                  <c:v>-6.8400000000000006E-3</c:v>
                </c:pt>
                <c:pt idx="3">
                  <c:v>-6.0600000000000029E-3</c:v>
                </c:pt>
                <c:pt idx="4">
                  <c:v>-7.0500000000000024E-3</c:v>
                </c:pt>
                <c:pt idx="5">
                  <c:v>-8.7600000000000004E-3</c:v>
                </c:pt>
                <c:pt idx="6">
                  <c:v>-1.0610000000000001E-2</c:v>
                </c:pt>
                <c:pt idx="7">
                  <c:v>-1.2210000000000007E-2</c:v>
                </c:pt>
                <c:pt idx="8">
                  <c:v>-1.3419999999999991E-2</c:v>
                </c:pt>
                <c:pt idx="9">
                  <c:v>-1.4180000000000005E-2</c:v>
                </c:pt>
                <c:pt idx="10">
                  <c:v>-1.4480000000000003E-2</c:v>
                </c:pt>
                <c:pt idx="11">
                  <c:v>-1.4310000000000002E-2</c:v>
                </c:pt>
                <c:pt idx="12">
                  <c:v>-1.3769999999999999E-2</c:v>
                </c:pt>
              </c:numCache>
            </c:numRef>
          </c:val>
        </c:ser>
        <c:marker val="1"/>
        <c:axId val="115371008"/>
        <c:axId val="115385472"/>
      </c:lineChart>
      <c:catAx>
        <c:axId val="115371008"/>
        <c:scaling>
          <c:orientation val="minMax"/>
        </c:scaling>
        <c:axPos val="b"/>
        <c:title>
          <c:tx>
            <c:rich>
              <a:bodyPr/>
              <a:lstStyle/>
              <a:p>
                <a:pPr>
                  <a:defRPr b="1"/>
                </a:pPr>
                <a:r>
                  <a:rPr lang="en-US" b="1"/>
                  <a:t>Quarter</a:t>
                </a:r>
              </a:p>
            </c:rich>
          </c:tx>
        </c:title>
        <c:numFmt formatCode="General" sourceLinked="1"/>
        <c:tickLblPos val="nextTo"/>
        <c:crossAx val="115385472"/>
        <c:crosses val="autoZero"/>
        <c:auto val="1"/>
        <c:lblAlgn val="ctr"/>
        <c:lblOffset val="100"/>
      </c:catAx>
      <c:valAx>
        <c:axId val="115385472"/>
        <c:scaling>
          <c:orientation val="minMax"/>
          <c:max val="0.65000000000000036"/>
          <c:min val="-0.35000000000000014"/>
        </c:scaling>
        <c:axPos val="l"/>
        <c:title>
          <c:tx>
            <c:rich>
              <a:bodyPr rot="-5400000" vert="horz"/>
              <a:lstStyle/>
              <a:p>
                <a:pPr>
                  <a:defRPr b="1"/>
                </a:pPr>
                <a:r>
                  <a:rPr lang="en-US" b="1"/>
                  <a:t>Response</a:t>
                </a:r>
              </a:p>
            </c:rich>
          </c:tx>
        </c:title>
        <c:numFmt formatCode="General" sourceLinked="1"/>
        <c:tickLblPos val="nextTo"/>
        <c:spPr>
          <a:ln w="3175"/>
        </c:spPr>
        <c:crossAx val="115371008"/>
        <c:crosses val="autoZero"/>
        <c:crossBetween val="midCat"/>
      </c:valAx>
    </c:plotArea>
    <c:legend>
      <c:legendPos val="r"/>
      <c:legendEntry>
        <c:idx val="3"/>
        <c:delete val="1"/>
      </c:legendEntry>
      <c:legendEntry>
        <c:idx val="4"/>
        <c:delete val="1"/>
      </c:legendEntry>
      <c:legendEntry>
        <c:idx val="5"/>
        <c:delete val="1"/>
      </c:legendEntry>
      <c:legendEntry>
        <c:idx val="6"/>
        <c:delete val="1"/>
      </c:legendEntry>
      <c:legendEntry>
        <c:idx val="7"/>
        <c:delete val="1"/>
      </c:legendEntry>
      <c:legendEntry>
        <c:idx val="8"/>
        <c:delete val="1"/>
      </c:legendEntry>
      <c:layout>
        <c:manualLayout>
          <c:xMode val="edge"/>
          <c:yMode val="edge"/>
          <c:x val="0.83488203020770269"/>
          <c:y val="4.7077238334493491E-3"/>
          <c:w val="0.16511796979229754"/>
          <c:h val="0.24133619002954276"/>
        </c:manualLayout>
      </c:layout>
      <c:overlay val="1"/>
    </c:legend>
    <c:plotVisOnly val="1"/>
    <c:dispBlanksAs val="gap"/>
  </c:chart>
  <c:spPr>
    <a:ln>
      <a:noFill/>
    </a:ln>
  </c:spPr>
  <c:txPr>
    <a:bodyPr/>
    <a:lstStyle/>
    <a:p>
      <a:pPr>
        <a:defRPr sz="1000" b="0">
          <a:latin typeface="Times New Roman" panose="02020603050405020304" pitchFamily="18" charset="0"/>
          <a:cs typeface="Times New Roman" panose="02020603050405020304" pitchFamily="18" charset="0"/>
        </a:defRPr>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000" b="0"/>
            </a:pPr>
            <a:r>
              <a:rPr lang="en-US" sz="1000" b="1"/>
              <a:t>B. </a:t>
            </a:r>
            <a:r>
              <a:rPr lang="en-US" sz="1000" b="0" i="1"/>
              <a:t>Impulse: </a:t>
            </a:r>
            <a:r>
              <a:rPr lang="en-US" sz="1000" b="0" i="0"/>
              <a:t>CRE </a:t>
            </a:r>
            <a:r>
              <a:rPr lang="en-US" sz="1000" b="0"/>
              <a:t>Tightening</a:t>
            </a:r>
          </a:p>
        </c:rich>
      </c:tx>
      <c:overlay val="1"/>
    </c:title>
    <c:plotArea>
      <c:layout/>
      <c:lineChart>
        <c:grouping val="standard"/>
        <c:ser>
          <c:idx val="2"/>
          <c:order val="0"/>
          <c:tx>
            <c:v>VECM</c:v>
          </c:tx>
          <c:spPr>
            <a:ln w="25400">
              <a:solidFill>
                <a:schemeClr val="accent3">
                  <a:lumMod val="75000"/>
                </a:schemeClr>
              </a:solidFill>
            </a:ln>
          </c:spPr>
          <c:marker>
            <c:symbol val="none"/>
          </c:marker>
          <c:cat>
            <c:numRef>
              <c:f>'IRF Figures.2'!$I$2:$I$14</c:f>
              <c:numCache>
                <c:formatCode>General</c:formatCode>
                <c:ptCount val="13"/>
                <c:pt idx="0">
                  <c:v>0</c:v>
                </c:pt>
                <c:pt idx="1">
                  <c:v>1</c:v>
                </c:pt>
                <c:pt idx="2">
                  <c:v>2</c:v>
                </c:pt>
                <c:pt idx="3">
                  <c:v>3</c:v>
                </c:pt>
                <c:pt idx="4">
                  <c:v>4</c:v>
                </c:pt>
                <c:pt idx="5">
                  <c:v>5</c:v>
                </c:pt>
                <c:pt idx="6">
                  <c:v>6</c:v>
                </c:pt>
                <c:pt idx="7">
                  <c:v>7</c:v>
                </c:pt>
                <c:pt idx="8">
                  <c:v>8</c:v>
                </c:pt>
                <c:pt idx="9">
                  <c:v>9</c:v>
                </c:pt>
                <c:pt idx="10">
                  <c:v>10</c:v>
                </c:pt>
                <c:pt idx="11">
                  <c:v>11</c:v>
                </c:pt>
                <c:pt idx="12">
                  <c:v>12</c:v>
                </c:pt>
              </c:numCache>
            </c:numRef>
          </c:cat>
          <c:val>
            <c:numRef>
              <c:f>'IRF Figures.2'!$K$80:$K$92</c:f>
              <c:numCache>
                <c:formatCode>General</c:formatCode>
                <c:ptCount val="13"/>
                <c:pt idx="0">
                  <c:v>-1.6619999999999999E-2</c:v>
                </c:pt>
                <c:pt idx="1">
                  <c:v>-5.0930000000000003E-2</c:v>
                </c:pt>
                <c:pt idx="2">
                  <c:v>-7.6569999999999999E-2</c:v>
                </c:pt>
                <c:pt idx="3">
                  <c:v>-9.5740000000000006E-2</c:v>
                </c:pt>
                <c:pt idx="4">
                  <c:v>-0.11008</c:v>
                </c:pt>
                <c:pt idx="5">
                  <c:v>-0.1208</c:v>
                </c:pt>
                <c:pt idx="6">
                  <c:v>-0.12881000000000001</c:v>
                </c:pt>
                <c:pt idx="7">
                  <c:v>-0.1348</c:v>
                </c:pt>
                <c:pt idx="8">
                  <c:v>-0.13927999999999999</c:v>
                </c:pt>
                <c:pt idx="9">
                  <c:v>-0.14263000000000001</c:v>
                </c:pt>
                <c:pt idx="10">
                  <c:v>-0.14513000000000001</c:v>
                </c:pt>
                <c:pt idx="11">
                  <c:v>-0.14700000000000005</c:v>
                </c:pt>
                <c:pt idx="12">
                  <c:v>-0.14840000000000006</c:v>
                </c:pt>
              </c:numCache>
            </c:numRef>
          </c:val>
        </c:ser>
        <c:ser>
          <c:idx val="6"/>
          <c:order val="1"/>
          <c:tx>
            <c:v>VAR:3</c:v>
          </c:tx>
          <c:spPr>
            <a:ln w="25400">
              <a:solidFill>
                <a:schemeClr val="accent1">
                  <a:lumMod val="75000"/>
                </a:schemeClr>
              </a:solidFill>
            </a:ln>
          </c:spPr>
          <c:marker>
            <c:symbol val="none"/>
          </c:marker>
          <c:cat>
            <c:numRef>
              <c:f>'IRF Figures.2'!$I$2:$I$14</c:f>
              <c:numCache>
                <c:formatCode>General</c:formatCode>
                <c:ptCount val="13"/>
                <c:pt idx="0">
                  <c:v>0</c:v>
                </c:pt>
                <c:pt idx="1">
                  <c:v>1</c:v>
                </c:pt>
                <c:pt idx="2">
                  <c:v>2</c:v>
                </c:pt>
                <c:pt idx="3">
                  <c:v>3</c:v>
                </c:pt>
                <c:pt idx="4">
                  <c:v>4</c:v>
                </c:pt>
                <c:pt idx="5">
                  <c:v>5</c:v>
                </c:pt>
                <c:pt idx="6">
                  <c:v>6</c:v>
                </c:pt>
                <c:pt idx="7">
                  <c:v>7</c:v>
                </c:pt>
                <c:pt idx="8">
                  <c:v>8</c:v>
                </c:pt>
                <c:pt idx="9">
                  <c:v>9</c:v>
                </c:pt>
                <c:pt idx="10">
                  <c:v>10</c:v>
                </c:pt>
                <c:pt idx="11">
                  <c:v>11</c:v>
                </c:pt>
                <c:pt idx="12">
                  <c:v>12</c:v>
                </c:pt>
              </c:numCache>
            </c:numRef>
          </c:cat>
          <c:val>
            <c:numRef>
              <c:f>'IRF Figures.2'!$AJ$80:$AJ$92</c:f>
              <c:numCache>
                <c:formatCode>General</c:formatCode>
                <c:ptCount val="13"/>
                <c:pt idx="0">
                  <c:v>-0.11312000000000003</c:v>
                </c:pt>
                <c:pt idx="1">
                  <c:v>-0.17243000000000006</c:v>
                </c:pt>
                <c:pt idx="2">
                  <c:v>-0.18772000000000005</c:v>
                </c:pt>
                <c:pt idx="3">
                  <c:v>-0.18129000000000006</c:v>
                </c:pt>
                <c:pt idx="4">
                  <c:v>-0.16478000000000001</c:v>
                </c:pt>
                <c:pt idx="5">
                  <c:v>-0.14418</c:v>
                </c:pt>
                <c:pt idx="6">
                  <c:v>-0.12257000000000003</c:v>
                </c:pt>
                <c:pt idx="7">
                  <c:v>-0.10150000000000002</c:v>
                </c:pt>
                <c:pt idx="8">
                  <c:v>-8.1710000000000005E-2</c:v>
                </c:pt>
                <c:pt idx="9">
                  <c:v>-6.3500000000000001E-2</c:v>
                </c:pt>
                <c:pt idx="10">
                  <c:v>-4.6980000000000001E-2</c:v>
                </c:pt>
                <c:pt idx="11">
                  <c:v>-3.2150000000000005E-2</c:v>
                </c:pt>
                <c:pt idx="12">
                  <c:v>-1.8929999999999999E-2</c:v>
                </c:pt>
              </c:numCache>
            </c:numRef>
          </c:val>
        </c:ser>
        <c:ser>
          <c:idx val="1"/>
          <c:order val="2"/>
          <c:tx>
            <c:v>VAR:4</c:v>
          </c:tx>
          <c:spPr>
            <a:ln w="25400">
              <a:solidFill>
                <a:schemeClr val="accent6">
                  <a:lumMod val="75000"/>
                </a:schemeClr>
              </a:solidFill>
            </a:ln>
          </c:spPr>
          <c:marker>
            <c:symbol val="none"/>
          </c:marker>
          <c:cat>
            <c:numRef>
              <c:f>'IRF Figures.2'!$I$2:$I$14</c:f>
              <c:numCache>
                <c:formatCode>General</c:formatCode>
                <c:ptCount val="13"/>
                <c:pt idx="0">
                  <c:v>0</c:v>
                </c:pt>
                <c:pt idx="1">
                  <c:v>1</c:v>
                </c:pt>
                <c:pt idx="2">
                  <c:v>2</c:v>
                </c:pt>
                <c:pt idx="3">
                  <c:v>3</c:v>
                </c:pt>
                <c:pt idx="4">
                  <c:v>4</c:v>
                </c:pt>
                <c:pt idx="5">
                  <c:v>5</c:v>
                </c:pt>
                <c:pt idx="6">
                  <c:v>6</c:v>
                </c:pt>
                <c:pt idx="7">
                  <c:v>7</c:v>
                </c:pt>
                <c:pt idx="8">
                  <c:v>8</c:v>
                </c:pt>
                <c:pt idx="9">
                  <c:v>9</c:v>
                </c:pt>
                <c:pt idx="10">
                  <c:v>10</c:v>
                </c:pt>
                <c:pt idx="11">
                  <c:v>11</c:v>
                </c:pt>
                <c:pt idx="12">
                  <c:v>12</c:v>
                </c:pt>
              </c:numCache>
            </c:numRef>
          </c:cat>
          <c:val>
            <c:numRef>
              <c:f>'IRF Figures.2'!$BI$80:$BI$92</c:f>
              <c:numCache>
                <c:formatCode>General</c:formatCode>
                <c:ptCount val="13"/>
                <c:pt idx="0">
                  <c:v>-4.2279999999999984E-2</c:v>
                </c:pt>
                <c:pt idx="1">
                  <c:v>-0.12141</c:v>
                </c:pt>
                <c:pt idx="2">
                  <c:v>-0.17272000000000001</c:v>
                </c:pt>
                <c:pt idx="3">
                  <c:v>-0.20086000000000001</c:v>
                </c:pt>
                <c:pt idx="4">
                  <c:v>-0.21137</c:v>
                </c:pt>
                <c:pt idx="5">
                  <c:v>-0.20918</c:v>
                </c:pt>
                <c:pt idx="6">
                  <c:v>-0.19832</c:v>
                </c:pt>
                <c:pt idx="7">
                  <c:v>-0.18196000000000007</c:v>
                </c:pt>
                <c:pt idx="8">
                  <c:v>-0.16250999999999999</c:v>
                </c:pt>
                <c:pt idx="9">
                  <c:v>-0.14176000000000005</c:v>
                </c:pt>
                <c:pt idx="10">
                  <c:v>-0.12101000000000002</c:v>
                </c:pt>
                <c:pt idx="11">
                  <c:v>-0.10113000000000003</c:v>
                </c:pt>
                <c:pt idx="12">
                  <c:v>-8.2700000000000023E-2</c:v>
                </c:pt>
              </c:numCache>
            </c:numRef>
          </c:val>
        </c:ser>
        <c:ser>
          <c:idx val="0"/>
          <c:order val="3"/>
          <c:spPr>
            <a:ln w="12700">
              <a:solidFill>
                <a:schemeClr val="accent3">
                  <a:lumMod val="75000"/>
                </a:schemeClr>
              </a:solidFill>
              <a:prstDash val="dash"/>
            </a:ln>
          </c:spPr>
          <c:marker>
            <c:symbol val="none"/>
          </c:marker>
          <c:cat>
            <c:numRef>
              <c:f>'IRF Figures.2'!$I$2:$I$14</c:f>
              <c:numCache>
                <c:formatCode>General</c:formatCode>
                <c:ptCount val="13"/>
                <c:pt idx="0">
                  <c:v>0</c:v>
                </c:pt>
                <c:pt idx="1">
                  <c:v>1</c:v>
                </c:pt>
                <c:pt idx="2">
                  <c:v>2</c:v>
                </c:pt>
                <c:pt idx="3">
                  <c:v>3</c:v>
                </c:pt>
                <c:pt idx="4">
                  <c:v>4</c:v>
                </c:pt>
                <c:pt idx="5">
                  <c:v>5</c:v>
                </c:pt>
                <c:pt idx="6">
                  <c:v>6</c:v>
                </c:pt>
                <c:pt idx="7">
                  <c:v>7</c:v>
                </c:pt>
                <c:pt idx="8">
                  <c:v>8</c:v>
                </c:pt>
                <c:pt idx="9">
                  <c:v>9</c:v>
                </c:pt>
                <c:pt idx="10">
                  <c:v>10</c:v>
                </c:pt>
                <c:pt idx="11">
                  <c:v>11</c:v>
                </c:pt>
                <c:pt idx="12">
                  <c:v>12</c:v>
                </c:pt>
              </c:numCache>
            </c:numRef>
          </c:cat>
          <c:val>
            <c:numRef>
              <c:f>'IRF Figures.2'!$W$80:$W$92</c:f>
              <c:numCache>
                <c:formatCode>General</c:formatCode>
                <c:ptCount val="13"/>
                <c:pt idx="0">
                  <c:v>-9.5140000000000002E-2</c:v>
                </c:pt>
                <c:pt idx="1">
                  <c:v>-6.7350000000000035E-2</c:v>
                </c:pt>
                <c:pt idx="2">
                  <c:v>-0.10106999999999998</c:v>
                </c:pt>
                <c:pt idx="3">
                  <c:v>-0.12338</c:v>
                </c:pt>
                <c:pt idx="4">
                  <c:v>-0.13816000000000001</c:v>
                </c:pt>
                <c:pt idx="5">
                  <c:v>-0.14812</c:v>
                </c:pt>
                <c:pt idx="6">
                  <c:v>-0.15505000000000008</c:v>
                </c:pt>
                <c:pt idx="7">
                  <c:v>-0.16016</c:v>
                </c:pt>
                <c:pt idx="8">
                  <c:v>-0.16415999999999997</c:v>
                </c:pt>
                <c:pt idx="9">
                  <c:v>-0.16745000000000004</c:v>
                </c:pt>
                <c:pt idx="10">
                  <c:v>-0.17023000000000008</c:v>
                </c:pt>
                <c:pt idx="11">
                  <c:v>-0.17255999999999999</c:v>
                </c:pt>
                <c:pt idx="12">
                  <c:v>-0.17452000000000001</c:v>
                </c:pt>
              </c:numCache>
            </c:numRef>
          </c:val>
        </c:ser>
        <c:ser>
          <c:idx val="3"/>
          <c:order val="4"/>
          <c:spPr>
            <a:ln w="12700">
              <a:solidFill>
                <a:schemeClr val="accent3">
                  <a:lumMod val="75000"/>
                </a:schemeClr>
              </a:solidFill>
              <a:prstDash val="dash"/>
            </a:ln>
          </c:spPr>
          <c:marker>
            <c:symbol val="none"/>
          </c:marker>
          <c:cat>
            <c:numRef>
              <c:f>'IRF Figures.2'!$I$2:$I$14</c:f>
              <c:numCache>
                <c:formatCode>General</c:formatCode>
                <c:ptCount val="13"/>
                <c:pt idx="0">
                  <c:v>0</c:v>
                </c:pt>
                <c:pt idx="1">
                  <c:v>1</c:v>
                </c:pt>
                <c:pt idx="2">
                  <c:v>2</c:v>
                </c:pt>
                <c:pt idx="3">
                  <c:v>3</c:v>
                </c:pt>
                <c:pt idx="4">
                  <c:v>4</c:v>
                </c:pt>
                <c:pt idx="5">
                  <c:v>5</c:v>
                </c:pt>
                <c:pt idx="6">
                  <c:v>6</c:v>
                </c:pt>
                <c:pt idx="7">
                  <c:v>7</c:v>
                </c:pt>
                <c:pt idx="8">
                  <c:v>8</c:v>
                </c:pt>
                <c:pt idx="9">
                  <c:v>9</c:v>
                </c:pt>
                <c:pt idx="10">
                  <c:v>10</c:v>
                </c:pt>
                <c:pt idx="11">
                  <c:v>11</c:v>
                </c:pt>
                <c:pt idx="12">
                  <c:v>12</c:v>
                </c:pt>
              </c:numCache>
            </c:numRef>
          </c:cat>
          <c:val>
            <c:numRef>
              <c:f>'IRF Figures.2'!$S$80:$S$92</c:f>
              <c:numCache>
                <c:formatCode>General</c:formatCode>
                <c:ptCount val="13"/>
                <c:pt idx="0">
                  <c:v>6.1900000000000011E-2</c:v>
                </c:pt>
                <c:pt idx="1">
                  <c:v>-3.4509999999999999E-2</c:v>
                </c:pt>
                <c:pt idx="2">
                  <c:v>-5.2070000000000012E-2</c:v>
                </c:pt>
                <c:pt idx="3">
                  <c:v>-6.8100000000000008E-2</c:v>
                </c:pt>
                <c:pt idx="4">
                  <c:v>-8.2000000000000017E-2</c:v>
                </c:pt>
                <c:pt idx="5">
                  <c:v>-9.3480000000000021E-2</c:v>
                </c:pt>
                <c:pt idx="6">
                  <c:v>-0.10257000000000002</c:v>
                </c:pt>
                <c:pt idx="7">
                  <c:v>-0.10944000000000002</c:v>
                </c:pt>
                <c:pt idx="8">
                  <c:v>-0.11439999999999996</c:v>
                </c:pt>
                <c:pt idx="9">
                  <c:v>-0.11781000000000001</c:v>
                </c:pt>
                <c:pt idx="10">
                  <c:v>-0.12003000000000004</c:v>
                </c:pt>
                <c:pt idx="11">
                  <c:v>-0.12143999999999998</c:v>
                </c:pt>
                <c:pt idx="12">
                  <c:v>-0.12228000000000003</c:v>
                </c:pt>
              </c:numCache>
            </c:numRef>
          </c:val>
        </c:ser>
        <c:ser>
          <c:idx val="4"/>
          <c:order val="5"/>
          <c:spPr>
            <a:ln w="12700">
              <a:solidFill>
                <a:schemeClr val="accent6">
                  <a:lumMod val="75000"/>
                </a:schemeClr>
              </a:solidFill>
              <a:prstDash val="dash"/>
            </a:ln>
          </c:spPr>
          <c:marker>
            <c:symbol val="none"/>
          </c:marker>
          <c:cat>
            <c:numRef>
              <c:f>'IRF Figures.2'!$I$2:$I$14</c:f>
              <c:numCache>
                <c:formatCode>General</c:formatCode>
                <c:ptCount val="13"/>
                <c:pt idx="0">
                  <c:v>0</c:v>
                </c:pt>
                <c:pt idx="1">
                  <c:v>1</c:v>
                </c:pt>
                <c:pt idx="2">
                  <c:v>2</c:v>
                </c:pt>
                <c:pt idx="3">
                  <c:v>3</c:v>
                </c:pt>
                <c:pt idx="4">
                  <c:v>4</c:v>
                </c:pt>
                <c:pt idx="5">
                  <c:v>5</c:v>
                </c:pt>
                <c:pt idx="6">
                  <c:v>6</c:v>
                </c:pt>
                <c:pt idx="7">
                  <c:v>7</c:v>
                </c:pt>
                <c:pt idx="8">
                  <c:v>8</c:v>
                </c:pt>
                <c:pt idx="9">
                  <c:v>9</c:v>
                </c:pt>
                <c:pt idx="10">
                  <c:v>10</c:v>
                </c:pt>
                <c:pt idx="11">
                  <c:v>11</c:v>
                </c:pt>
                <c:pt idx="12">
                  <c:v>12</c:v>
                </c:pt>
              </c:numCache>
            </c:numRef>
          </c:cat>
          <c:val>
            <c:numRef>
              <c:f>'IRF Figures.2'!$BQ$80:$BQ$92</c:f>
              <c:numCache>
                <c:formatCode>General</c:formatCode>
                <c:ptCount val="13"/>
                <c:pt idx="0">
                  <c:v>6.9360000000000033E-2</c:v>
                </c:pt>
                <c:pt idx="1">
                  <c:v>-6.8129999999999996E-2</c:v>
                </c:pt>
                <c:pt idx="2">
                  <c:v>-9.3060000000000059E-2</c:v>
                </c:pt>
                <c:pt idx="3">
                  <c:v>-0.10794000000000002</c:v>
                </c:pt>
                <c:pt idx="4">
                  <c:v>-0.11189</c:v>
                </c:pt>
                <c:pt idx="5">
                  <c:v>-0.10644000000000002</c:v>
                </c:pt>
                <c:pt idx="6">
                  <c:v>-9.3920000000000045E-2</c:v>
                </c:pt>
                <c:pt idx="7">
                  <c:v>-7.6740000000000017E-2</c:v>
                </c:pt>
                <c:pt idx="8">
                  <c:v>-5.6989999999999985E-2</c:v>
                </c:pt>
                <c:pt idx="9">
                  <c:v>-3.6360000000000003E-2</c:v>
                </c:pt>
                <c:pt idx="10">
                  <c:v>-1.6130000000000005E-2</c:v>
                </c:pt>
                <c:pt idx="11">
                  <c:v>2.8299999999999992E-3</c:v>
                </c:pt>
                <c:pt idx="12">
                  <c:v>2.0000000000000011E-2</c:v>
                </c:pt>
              </c:numCache>
            </c:numRef>
          </c:val>
        </c:ser>
        <c:ser>
          <c:idx val="5"/>
          <c:order val="6"/>
          <c:spPr>
            <a:ln w="12700">
              <a:solidFill>
                <a:schemeClr val="accent6">
                  <a:lumMod val="75000"/>
                </a:schemeClr>
              </a:solidFill>
              <a:prstDash val="dash"/>
            </a:ln>
          </c:spPr>
          <c:marker>
            <c:symbol val="none"/>
          </c:marker>
          <c:cat>
            <c:numRef>
              <c:f>'IRF Figures.2'!$I$2:$I$14</c:f>
              <c:numCache>
                <c:formatCode>General</c:formatCode>
                <c:ptCount val="13"/>
                <c:pt idx="0">
                  <c:v>0</c:v>
                </c:pt>
                <c:pt idx="1">
                  <c:v>1</c:v>
                </c:pt>
                <c:pt idx="2">
                  <c:v>2</c:v>
                </c:pt>
                <c:pt idx="3">
                  <c:v>3</c:v>
                </c:pt>
                <c:pt idx="4">
                  <c:v>4</c:v>
                </c:pt>
                <c:pt idx="5">
                  <c:v>5</c:v>
                </c:pt>
                <c:pt idx="6">
                  <c:v>6</c:v>
                </c:pt>
                <c:pt idx="7">
                  <c:v>7</c:v>
                </c:pt>
                <c:pt idx="8">
                  <c:v>8</c:v>
                </c:pt>
                <c:pt idx="9">
                  <c:v>9</c:v>
                </c:pt>
                <c:pt idx="10">
                  <c:v>10</c:v>
                </c:pt>
                <c:pt idx="11">
                  <c:v>11</c:v>
                </c:pt>
                <c:pt idx="12">
                  <c:v>12</c:v>
                </c:pt>
              </c:numCache>
            </c:numRef>
          </c:cat>
          <c:val>
            <c:numRef>
              <c:f>'IRF Figures.2'!$BU$80:$BU$92</c:f>
              <c:numCache>
                <c:formatCode>General</c:formatCode>
                <c:ptCount val="13"/>
                <c:pt idx="0">
                  <c:v>-0.15392000000000006</c:v>
                </c:pt>
                <c:pt idx="1">
                  <c:v>-0.17469000000000001</c:v>
                </c:pt>
                <c:pt idx="2">
                  <c:v>-0.25238000000000016</c:v>
                </c:pt>
                <c:pt idx="3">
                  <c:v>-0.29378000000000015</c:v>
                </c:pt>
                <c:pt idx="4">
                  <c:v>-0.31085000000000013</c:v>
                </c:pt>
                <c:pt idx="5">
                  <c:v>-0.3119200000000002</c:v>
                </c:pt>
                <c:pt idx="6">
                  <c:v>-0.30272000000000016</c:v>
                </c:pt>
                <c:pt idx="7">
                  <c:v>-0.28718000000000016</c:v>
                </c:pt>
                <c:pt idx="8">
                  <c:v>-0.2680300000000001</c:v>
                </c:pt>
                <c:pt idx="9">
                  <c:v>-0.24715999999999999</c:v>
                </c:pt>
                <c:pt idx="10">
                  <c:v>-0.22589000000000001</c:v>
                </c:pt>
                <c:pt idx="11">
                  <c:v>-0.20508999999999999</c:v>
                </c:pt>
                <c:pt idx="12">
                  <c:v>-0.18540000000000006</c:v>
                </c:pt>
              </c:numCache>
            </c:numRef>
          </c:val>
        </c:ser>
        <c:ser>
          <c:idx val="7"/>
          <c:order val="7"/>
          <c:spPr>
            <a:ln w="12700">
              <a:solidFill>
                <a:schemeClr val="accent1">
                  <a:lumMod val="75000"/>
                </a:schemeClr>
              </a:solidFill>
              <a:prstDash val="dash"/>
            </a:ln>
          </c:spPr>
          <c:marker>
            <c:symbol val="none"/>
          </c:marker>
          <c:cat>
            <c:numRef>
              <c:f>'IRF Figures.2'!$I$2:$I$14</c:f>
              <c:numCache>
                <c:formatCode>General</c:formatCode>
                <c:ptCount val="13"/>
                <c:pt idx="0">
                  <c:v>0</c:v>
                </c:pt>
                <c:pt idx="1">
                  <c:v>1</c:v>
                </c:pt>
                <c:pt idx="2">
                  <c:v>2</c:v>
                </c:pt>
                <c:pt idx="3">
                  <c:v>3</c:v>
                </c:pt>
                <c:pt idx="4">
                  <c:v>4</c:v>
                </c:pt>
                <c:pt idx="5">
                  <c:v>5</c:v>
                </c:pt>
                <c:pt idx="6">
                  <c:v>6</c:v>
                </c:pt>
                <c:pt idx="7">
                  <c:v>7</c:v>
                </c:pt>
                <c:pt idx="8">
                  <c:v>8</c:v>
                </c:pt>
                <c:pt idx="9">
                  <c:v>9</c:v>
                </c:pt>
                <c:pt idx="10">
                  <c:v>10</c:v>
                </c:pt>
                <c:pt idx="11">
                  <c:v>11</c:v>
                </c:pt>
                <c:pt idx="12">
                  <c:v>12</c:v>
                </c:pt>
              </c:numCache>
            </c:numRef>
          </c:cat>
          <c:val>
            <c:numRef>
              <c:f>'IRF Figures.2'!$AR$80:$AR$92</c:f>
              <c:numCache>
                <c:formatCode>General</c:formatCode>
                <c:ptCount val="13"/>
                <c:pt idx="0">
                  <c:v>-7.859999999999992E-3</c:v>
                </c:pt>
                <c:pt idx="1">
                  <c:v>-9.7670000000000007E-2</c:v>
                </c:pt>
                <c:pt idx="2">
                  <c:v>-8.3940000000000028E-2</c:v>
                </c:pt>
                <c:pt idx="3">
                  <c:v>-6.6510000000000014E-2</c:v>
                </c:pt>
                <c:pt idx="4">
                  <c:v>-4.6520000000000006E-2</c:v>
                </c:pt>
                <c:pt idx="5">
                  <c:v>-2.6120000000000004E-2</c:v>
                </c:pt>
                <c:pt idx="6">
                  <c:v>-6.8700000000000028E-3</c:v>
                </c:pt>
                <c:pt idx="7">
                  <c:v>1.0459999999999992E-2</c:v>
                </c:pt>
                <c:pt idx="8">
                  <c:v>2.5670000000000005E-2</c:v>
                </c:pt>
                <c:pt idx="9">
                  <c:v>3.8900000000000004E-2</c:v>
                </c:pt>
                <c:pt idx="10">
                  <c:v>5.0440000000000013E-2</c:v>
                </c:pt>
                <c:pt idx="11">
                  <c:v>6.0590000000000026E-2</c:v>
                </c:pt>
                <c:pt idx="12">
                  <c:v>6.9730000000000028E-2</c:v>
                </c:pt>
              </c:numCache>
            </c:numRef>
          </c:val>
        </c:ser>
        <c:ser>
          <c:idx val="10"/>
          <c:order val="8"/>
          <c:spPr>
            <a:ln w="12700">
              <a:solidFill>
                <a:schemeClr val="accent1">
                  <a:lumMod val="75000"/>
                </a:schemeClr>
              </a:solidFill>
              <a:prstDash val="dash"/>
            </a:ln>
          </c:spPr>
          <c:marker>
            <c:symbol val="none"/>
          </c:marker>
          <c:cat>
            <c:numRef>
              <c:f>'IRF Figures.2'!$I$2:$I$14</c:f>
              <c:numCache>
                <c:formatCode>General</c:formatCode>
                <c:ptCount val="13"/>
                <c:pt idx="0">
                  <c:v>0</c:v>
                </c:pt>
                <c:pt idx="1">
                  <c:v>1</c:v>
                </c:pt>
                <c:pt idx="2">
                  <c:v>2</c:v>
                </c:pt>
                <c:pt idx="3">
                  <c:v>3</c:v>
                </c:pt>
                <c:pt idx="4">
                  <c:v>4</c:v>
                </c:pt>
                <c:pt idx="5">
                  <c:v>5</c:v>
                </c:pt>
                <c:pt idx="6">
                  <c:v>6</c:v>
                </c:pt>
                <c:pt idx="7">
                  <c:v>7</c:v>
                </c:pt>
                <c:pt idx="8">
                  <c:v>8</c:v>
                </c:pt>
                <c:pt idx="9">
                  <c:v>9</c:v>
                </c:pt>
                <c:pt idx="10">
                  <c:v>10</c:v>
                </c:pt>
                <c:pt idx="11">
                  <c:v>11</c:v>
                </c:pt>
                <c:pt idx="12">
                  <c:v>12</c:v>
                </c:pt>
              </c:numCache>
            </c:numRef>
          </c:cat>
          <c:val>
            <c:numRef>
              <c:f>'IRF Figures.2'!$AV$80:$AV$92</c:f>
              <c:numCache>
                <c:formatCode>General</c:formatCode>
                <c:ptCount val="13"/>
                <c:pt idx="0">
                  <c:v>-0.21838000000000007</c:v>
                </c:pt>
                <c:pt idx="1">
                  <c:v>-0.24718999999999999</c:v>
                </c:pt>
                <c:pt idx="2">
                  <c:v>-0.29150000000000009</c:v>
                </c:pt>
                <c:pt idx="3">
                  <c:v>-0.29607000000000011</c:v>
                </c:pt>
                <c:pt idx="4">
                  <c:v>-0.28304000000000001</c:v>
                </c:pt>
                <c:pt idx="5">
                  <c:v>-0.26224000000000003</c:v>
                </c:pt>
                <c:pt idx="6">
                  <c:v>-0.23827000000000001</c:v>
                </c:pt>
                <c:pt idx="7">
                  <c:v>-0.21346000000000007</c:v>
                </c:pt>
                <c:pt idx="8">
                  <c:v>-0.18909000000000006</c:v>
                </c:pt>
                <c:pt idx="9">
                  <c:v>-0.16589999999999999</c:v>
                </c:pt>
                <c:pt idx="10">
                  <c:v>-0.14440000000000006</c:v>
                </c:pt>
                <c:pt idx="11">
                  <c:v>-0.12489000000000003</c:v>
                </c:pt>
                <c:pt idx="12">
                  <c:v>-0.10759000000000005</c:v>
                </c:pt>
              </c:numCache>
            </c:numRef>
          </c:val>
        </c:ser>
        <c:marker val="1"/>
        <c:axId val="115299840"/>
        <c:axId val="115301760"/>
      </c:lineChart>
      <c:catAx>
        <c:axId val="115299840"/>
        <c:scaling>
          <c:orientation val="minMax"/>
        </c:scaling>
        <c:axPos val="b"/>
        <c:title>
          <c:tx>
            <c:rich>
              <a:bodyPr/>
              <a:lstStyle/>
              <a:p>
                <a:pPr>
                  <a:defRPr/>
                </a:pPr>
                <a:r>
                  <a:rPr lang="en-US"/>
                  <a:t>Quarter</a:t>
                </a:r>
              </a:p>
            </c:rich>
          </c:tx>
        </c:title>
        <c:numFmt formatCode="General" sourceLinked="1"/>
        <c:tickLblPos val="nextTo"/>
        <c:crossAx val="115301760"/>
        <c:crosses val="autoZero"/>
        <c:auto val="1"/>
        <c:lblAlgn val="ctr"/>
        <c:lblOffset val="100"/>
      </c:catAx>
      <c:valAx>
        <c:axId val="115301760"/>
        <c:scaling>
          <c:orientation val="minMax"/>
          <c:max val="0.65000000000000036"/>
          <c:min val="-0.35000000000000014"/>
        </c:scaling>
        <c:axPos val="l"/>
        <c:title>
          <c:tx>
            <c:rich>
              <a:bodyPr rot="-5400000" vert="horz"/>
              <a:lstStyle/>
              <a:p>
                <a:pPr>
                  <a:defRPr b="1"/>
                </a:pPr>
                <a:r>
                  <a:rPr lang="en-US" b="1"/>
                  <a:t>Response</a:t>
                </a:r>
              </a:p>
            </c:rich>
          </c:tx>
        </c:title>
        <c:numFmt formatCode="General" sourceLinked="1"/>
        <c:tickLblPos val="nextTo"/>
        <c:spPr>
          <a:ln w="3175"/>
        </c:spPr>
        <c:txPr>
          <a:bodyPr/>
          <a:lstStyle/>
          <a:p>
            <a:pPr algn="ctr">
              <a:defRPr/>
            </a:pPr>
            <a:endParaRPr lang="en-US"/>
          </a:p>
        </c:txPr>
        <c:crossAx val="115299840"/>
        <c:crosses val="autoZero"/>
        <c:crossBetween val="midCat"/>
      </c:valAx>
    </c:plotArea>
    <c:legend>
      <c:legendPos val="r"/>
      <c:legendEntry>
        <c:idx val="3"/>
        <c:delete val="1"/>
      </c:legendEntry>
      <c:legendEntry>
        <c:idx val="4"/>
        <c:delete val="1"/>
      </c:legendEntry>
      <c:legendEntry>
        <c:idx val="5"/>
        <c:delete val="1"/>
      </c:legendEntry>
      <c:legendEntry>
        <c:idx val="6"/>
        <c:delete val="1"/>
      </c:legendEntry>
      <c:legendEntry>
        <c:idx val="7"/>
        <c:delete val="1"/>
      </c:legendEntry>
      <c:legendEntry>
        <c:idx val="8"/>
        <c:delete val="1"/>
      </c:legendEntry>
      <c:layout>
        <c:manualLayout>
          <c:xMode val="edge"/>
          <c:yMode val="edge"/>
          <c:x val="0.83495486930834928"/>
          <c:y val="1.8624783059363061E-3"/>
          <c:w val="0.16504513069165092"/>
          <c:h val="0.24133619002954276"/>
        </c:manualLayout>
      </c:layout>
      <c:overlay val="1"/>
    </c:legend>
    <c:plotVisOnly val="1"/>
    <c:dispBlanksAs val="gap"/>
  </c:chart>
  <c:spPr>
    <a:ln>
      <a:noFill/>
    </a:ln>
  </c:spPr>
  <c:txPr>
    <a:bodyPr/>
    <a:lstStyle/>
    <a:p>
      <a:pPr>
        <a:defRPr sz="1000">
          <a:latin typeface="Times New Roman" panose="02020603050405020304" pitchFamily="18" charset="0"/>
          <a:cs typeface="Times New Roman" panose="02020603050405020304" pitchFamily="18" charset="0"/>
        </a:defRPr>
      </a:pPr>
      <a:endParaRPr lang="en-US"/>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000"/>
            </a:pPr>
            <a:r>
              <a:rPr lang="en-US" sz="1000" b="1"/>
              <a:t>C.</a:t>
            </a:r>
            <a:r>
              <a:rPr lang="en-US" sz="1000" b="1" baseline="0"/>
              <a:t> </a:t>
            </a:r>
            <a:r>
              <a:rPr lang="en-US" sz="1000" i="1"/>
              <a:t>Impulse: </a:t>
            </a:r>
            <a:r>
              <a:rPr lang="en-US" sz="1000"/>
              <a:t>Capital Gains</a:t>
            </a:r>
          </a:p>
        </c:rich>
      </c:tx>
      <c:overlay val="1"/>
    </c:title>
    <c:plotArea>
      <c:layout/>
      <c:lineChart>
        <c:grouping val="standard"/>
        <c:ser>
          <c:idx val="2"/>
          <c:order val="0"/>
          <c:tx>
            <c:v>VECM</c:v>
          </c:tx>
          <c:spPr>
            <a:ln w="25400">
              <a:solidFill>
                <a:schemeClr val="accent3">
                  <a:lumMod val="75000"/>
                </a:schemeClr>
              </a:solidFill>
            </a:ln>
          </c:spPr>
          <c:marker>
            <c:symbol val="none"/>
          </c:marker>
          <c:cat>
            <c:numRef>
              <c:f>'IRF Figures.2'!$I$2:$I$14</c:f>
              <c:numCache>
                <c:formatCode>General</c:formatCode>
                <c:ptCount val="13"/>
                <c:pt idx="0">
                  <c:v>0</c:v>
                </c:pt>
                <c:pt idx="1">
                  <c:v>1</c:v>
                </c:pt>
                <c:pt idx="2">
                  <c:v>2</c:v>
                </c:pt>
                <c:pt idx="3">
                  <c:v>3</c:v>
                </c:pt>
                <c:pt idx="4">
                  <c:v>4</c:v>
                </c:pt>
                <c:pt idx="5">
                  <c:v>5</c:v>
                </c:pt>
                <c:pt idx="6">
                  <c:v>6</c:v>
                </c:pt>
                <c:pt idx="7">
                  <c:v>7</c:v>
                </c:pt>
                <c:pt idx="8">
                  <c:v>8</c:v>
                </c:pt>
                <c:pt idx="9">
                  <c:v>9</c:v>
                </c:pt>
                <c:pt idx="10">
                  <c:v>10</c:v>
                </c:pt>
                <c:pt idx="11">
                  <c:v>11</c:v>
                </c:pt>
                <c:pt idx="12">
                  <c:v>12</c:v>
                </c:pt>
              </c:numCache>
            </c:numRef>
          </c:cat>
          <c:val>
            <c:numRef>
              <c:f>'IRF Figures.2'!$M$80:$M$92</c:f>
              <c:numCache>
                <c:formatCode>General</c:formatCode>
                <c:ptCount val="13"/>
                <c:pt idx="0">
                  <c:v>0.56142000000000003</c:v>
                </c:pt>
                <c:pt idx="1">
                  <c:v>0.39445000000000013</c:v>
                </c:pt>
                <c:pt idx="2">
                  <c:v>0.26962000000000008</c:v>
                </c:pt>
                <c:pt idx="3">
                  <c:v>0.17629000000000006</c:v>
                </c:pt>
                <c:pt idx="4">
                  <c:v>0.10650999999999998</c:v>
                </c:pt>
                <c:pt idx="5">
                  <c:v>5.4340000000000013E-2</c:v>
                </c:pt>
                <c:pt idx="6">
                  <c:v>1.5339999999999998E-2</c:v>
                </c:pt>
                <c:pt idx="7">
                  <c:v>-1.3820000000000004E-2</c:v>
                </c:pt>
                <c:pt idx="8">
                  <c:v>-3.5619999999999999E-2</c:v>
                </c:pt>
                <c:pt idx="9">
                  <c:v>-5.1920000000000001E-2</c:v>
                </c:pt>
                <c:pt idx="10">
                  <c:v>-6.4100000000000004E-2</c:v>
                </c:pt>
                <c:pt idx="11">
                  <c:v>-7.3209999999999997E-2</c:v>
                </c:pt>
                <c:pt idx="12">
                  <c:v>-8.0020000000000036E-2</c:v>
                </c:pt>
              </c:numCache>
            </c:numRef>
          </c:val>
        </c:ser>
        <c:ser>
          <c:idx val="6"/>
          <c:order val="1"/>
          <c:tx>
            <c:v>VAR:3</c:v>
          </c:tx>
          <c:spPr>
            <a:ln w="25400">
              <a:solidFill>
                <a:schemeClr val="accent1">
                  <a:lumMod val="75000"/>
                </a:schemeClr>
              </a:solidFill>
            </a:ln>
          </c:spPr>
          <c:marker>
            <c:symbol val="none"/>
          </c:marker>
          <c:cat>
            <c:numRef>
              <c:f>'IRF Figures.2'!$I$2:$I$14</c:f>
              <c:numCache>
                <c:formatCode>General</c:formatCode>
                <c:ptCount val="13"/>
                <c:pt idx="0">
                  <c:v>0</c:v>
                </c:pt>
                <c:pt idx="1">
                  <c:v>1</c:v>
                </c:pt>
                <c:pt idx="2">
                  <c:v>2</c:v>
                </c:pt>
                <c:pt idx="3">
                  <c:v>3</c:v>
                </c:pt>
                <c:pt idx="4">
                  <c:v>4</c:v>
                </c:pt>
                <c:pt idx="5">
                  <c:v>5</c:v>
                </c:pt>
                <c:pt idx="6">
                  <c:v>6</c:v>
                </c:pt>
                <c:pt idx="7">
                  <c:v>7</c:v>
                </c:pt>
                <c:pt idx="8">
                  <c:v>8</c:v>
                </c:pt>
                <c:pt idx="9">
                  <c:v>9</c:v>
                </c:pt>
                <c:pt idx="10">
                  <c:v>10</c:v>
                </c:pt>
                <c:pt idx="11">
                  <c:v>11</c:v>
                </c:pt>
                <c:pt idx="12">
                  <c:v>12</c:v>
                </c:pt>
              </c:numCache>
            </c:numRef>
          </c:cat>
          <c:val>
            <c:numRef>
              <c:f>'IRF Figures.2'!$AL$80:$AL$92</c:f>
              <c:numCache>
                <c:formatCode>General</c:formatCode>
                <c:ptCount val="13"/>
                <c:pt idx="0">
                  <c:v>0.56882999999999995</c:v>
                </c:pt>
                <c:pt idx="1">
                  <c:v>0.39218000000000014</c:v>
                </c:pt>
                <c:pt idx="2">
                  <c:v>0.28365000000000001</c:v>
                </c:pt>
                <c:pt idx="3">
                  <c:v>0.21232000000000001</c:v>
                </c:pt>
                <c:pt idx="4">
                  <c:v>0.16189999999999999</c:v>
                </c:pt>
                <c:pt idx="5">
                  <c:v>0.12377000000000005</c:v>
                </c:pt>
                <c:pt idx="6">
                  <c:v>9.3310000000000004E-2</c:v>
                </c:pt>
                <c:pt idx="7">
                  <c:v>6.8010000000000029E-2</c:v>
                </c:pt>
                <c:pt idx="8">
                  <c:v>4.6469999999999997E-2</c:v>
                </c:pt>
                <c:pt idx="9">
                  <c:v>2.7890000000000009E-2</c:v>
                </c:pt>
                <c:pt idx="10">
                  <c:v>1.1750000000000003E-2</c:v>
                </c:pt>
                <c:pt idx="11">
                  <c:v>-2.2600000000000012E-3</c:v>
                </c:pt>
                <c:pt idx="12">
                  <c:v>-1.4409999999999996E-2</c:v>
                </c:pt>
              </c:numCache>
            </c:numRef>
          </c:val>
        </c:ser>
        <c:ser>
          <c:idx val="1"/>
          <c:order val="2"/>
          <c:tx>
            <c:v>VAR:4</c:v>
          </c:tx>
          <c:spPr>
            <a:ln w="25400">
              <a:solidFill>
                <a:schemeClr val="accent6">
                  <a:lumMod val="75000"/>
                </a:schemeClr>
              </a:solidFill>
            </a:ln>
          </c:spPr>
          <c:marker>
            <c:symbol val="none"/>
          </c:marker>
          <c:cat>
            <c:numRef>
              <c:f>'IRF Figures.2'!$I$2:$I$14</c:f>
              <c:numCache>
                <c:formatCode>General</c:formatCode>
                <c:ptCount val="13"/>
                <c:pt idx="0">
                  <c:v>0</c:v>
                </c:pt>
                <c:pt idx="1">
                  <c:v>1</c:v>
                </c:pt>
                <c:pt idx="2">
                  <c:v>2</c:v>
                </c:pt>
                <c:pt idx="3">
                  <c:v>3</c:v>
                </c:pt>
                <c:pt idx="4">
                  <c:v>4</c:v>
                </c:pt>
                <c:pt idx="5">
                  <c:v>5</c:v>
                </c:pt>
                <c:pt idx="6">
                  <c:v>6</c:v>
                </c:pt>
                <c:pt idx="7">
                  <c:v>7</c:v>
                </c:pt>
                <c:pt idx="8">
                  <c:v>8</c:v>
                </c:pt>
                <c:pt idx="9">
                  <c:v>9</c:v>
                </c:pt>
                <c:pt idx="10">
                  <c:v>10</c:v>
                </c:pt>
                <c:pt idx="11">
                  <c:v>11</c:v>
                </c:pt>
                <c:pt idx="12">
                  <c:v>12</c:v>
                </c:pt>
              </c:numCache>
            </c:numRef>
          </c:cat>
          <c:val>
            <c:numRef>
              <c:f>'IRF Figures.2'!$BK$80:$BK$92</c:f>
              <c:numCache>
                <c:formatCode>General</c:formatCode>
                <c:ptCount val="13"/>
                <c:pt idx="0">
                  <c:v>0.53424000000000005</c:v>
                </c:pt>
                <c:pt idx="1">
                  <c:v>0.33297000000000027</c:v>
                </c:pt>
                <c:pt idx="2">
                  <c:v>0.19758000000000001</c:v>
                </c:pt>
                <c:pt idx="3">
                  <c:v>0.10102999999999998</c:v>
                </c:pt>
                <c:pt idx="4">
                  <c:v>3.1710000000000002E-2</c:v>
                </c:pt>
                <c:pt idx="5">
                  <c:v>-1.6979999999999999E-2</c:v>
                </c:pt>
                <c:pt idx="6">
                  <c:v>-4.9740000000000013E-2</c:v>
                </c:pt>
                <c:pt idx="7">
                  <c:v>-7.0250000000000007E-2</c:v>
                </c:pt>
                <c:pt idx="8">
                  <c:v>-8.1510000000000041E-2</c:v>
                </c:pt>
                <c:pt idx="9">
                  <c:v>-8.5940000000000003E-2</c:v>
                </c:pt>
                <c:pt idx="10">
                  <c:v>-8.5500000000000034E-2</c:v>
                </c:pt>
                <c:pt idx="11">
                  <c:v>-8.1720000000000029E-2</c:v>
                </c:pt>
                <c:pt idx="12">
                  <c:v>-7.581000000000003E-2</c:v>
                </c:pt>
              </c:numCache>
            </c:numRef>
          </c:val>
        </c:ser>
        <c:ser>
          <c:idx val="0"/>
          <c:order val="3"/>
          <c:spPr>
            <a:ln w="12700">
              <a:solidFill>
                <a:schemeClr val="accent3">
                  <a:lumMod val="75000"/>
                </a:schemeClr>
              </a:solidFill>
              <a:prstDash val="dash"/>
            </a:ln>
          </c:spPr>
          <c:marker>
            <c:symbol val="none"/>
          </c:marker>
          <c:cat>
            <c:numRef>
              <c:f>'IRF Figures.2'!$I$2:$I$14</c:f>
              <c:numCache>
                <c:formatCode>General</c:formatCode>
                <c:ptCount val="13"/>
                <c:pt idx="0">
                  <c:v>0</c:v>
                </c:pt>
                <c:pt idx="1">
                  <c:v>1</c:v>
                </c:pt>
                <c:pt idx="2">
                  <c:v>2</c:v>
                </c:pt>
                <c:pt idx="3">
                  <c:v>3</c:v>
                </c:pt>
                <c:pt idx="4">
                  <c:v>4</c:v>
                </c:pt>
                <c:pt idx="5">
                  <c:v>5</c:v>
                </c:pt>
                <c:pt idx="6">
                  <c:v>6</c:v>
                </c:pt>
                <c:pt idx="7">
                  <c:v>7</c:v>
                </c:pt>
                <c:pt idx="8">
                  <c:v>8</c:v>
                </c:pt>
                <c:pt idx="9">
                  <c:v>9</c:v>
                </c:pt>
                <c:pt idx="10">
                  <c:v>10</c:v>
                </c:pt>
                <c:pt idx="11">
                  <c:v>11</c:v>
                </c:pt>
                <c:pt idx="12">
                  <c:v>12</c:v>
                </c:pt>
              </c:numCache>
            </c:numRef>
          </c:cat>
          <c:val>
            <c:numRef>
              <c:f>'IRF Figures.2'!$Y$80:$Y$92</c:f>
              <c:numCache>
                <c:formatCode>General</c:formatCode>
                <c:ptCount val="13"/>
                <c:pt idx="0">
                  <c:v>0.47888000000000025</c:v>
                </c:pt>
                <c:pt idx="1">
                  <c:v>0.29913000000000001</c:v>
                </c:pt>
                <c:pt idx="2">
                  <c:v>0.15260000000000001</c:v>
                </c:pt>
                <c:pt idx="3">
                  <c:v>5.3510000000000016E-2</c:v>
                </c:pt>
                <c:pt idx="4">
                  <c:v>-1.0730000000000003E-2</c:v>
                </c:pt>
                <c:pt idx="5">
                  <c:v>-5.1839999999999997E-2</c:v>
                </c:pt>
                <c:pt idx="6">
                  <c:v>-7.846000000000003E-2</c:v>
                </c:pt>
                <c:pt idx="7">
                  <c:v>-9.6800000000000025E-2</c:v>
                </c:pt>
                <c:pt idx="8">
                  <c:v>-0.1111</c:v>
                </c:pt>
                <c:pt idx="9">
                  <c:v>-0.12373999999999999</c:v>
                </c:pt>
                <c:pt idx="10">
                  <c:v>-0.13564000000000001</c:v>
                </c:pt>
                <c:pt idx="11">
                  <c:v>-0.14673000000000005</c:v>
                </c:pt>
                <c:pt idx="12">
                  <c:v>-0.15674000000000007</c:v>
                </c:pt>
              </c:numCache>
            </c:numRef>
          </c:val>
        </c:ser>
        <c:ser>
          <c:idx val="3"/>
          <c:order val="4"/>
          <c:spPr>
            <a:ln w="12700">
              <a:solidFill>
                <a:schemeClr val="accent3">
                  <a:lumMod val="75000"/>
                </a:schemeClr>
              </a:solidFill>
              <a:prstDash val="dash"/>
            </a:ln>
          </c:spPr>
          <c:marker>
            <c:symbol val="none"/>
          </c:marker>
          <c:cat>
            <c:numRef>
              <c:f>'IRF Figures.2'!$I$2:$I$14</c:f>
              <c:numCache>
                <c:formatCode>General</c:formatCode>
                <c:ptCount val="13"/>
                <c:pt idx="0">
                  <c:v>0</c:v>
                </c:pt>
                <c:pt idx="1">
                  <c:v>1</c:v>
                </c:pt>
                <c:pt idx="2">
                  <c:v>2</c:v>
                </c:pt>
                <c:pt idx="3">
                  <c:v>3</c:v>
                </c:pt>
                <c:pt idx="4">
                  <c:v>4</c:v>
                </c:pt>
                <c:pt idx="5">
                  <c:v>5</c:v>
                </c:pt>
                <c:pt idx="6">
                  <c:v>6</c:v>
                </c:pt>
                <c:pt idx="7">
                  <c:v>7</c:v>
                </c:pt>
                <c:pt idx="8">
                  <c:v>8</c:v>
                </c:pt>
                <c:pt idx="9">
                  <c:v>9</c:v>
                </c:pt>
                <c:pt idx="10">
                  <c:v>10</c:v>
                </c:pt>
                <c:pt idx="11">
                  <c:v>11</c:v>
                </c:pt>
                <c:pt idx="12">
                  <c:v>12</c:v>
                </c:pt>
              </c:numCache>
            </c:numRef>
          </c:cat>
          <c:val>
            <c:numRef>
              <c:f>'IRF Figures.2'!$U$80:$U$92</c:f>
              <c:numCache>
                <c:formatCode>General</c:formatCode>
                <c:ptCount val="13"/>
                <c:pt idx="0">
                  <c:v>0.64396000000000031</c:v>
                </c:pt>
                <c:pt idx="1">
                  <c:v>0.48977000000000015</c:v>
                </c:pt>
                <c:pt idx="2">
                  <c:v>0.38664000000000015</c:v>
                </c:pt>
                <c:pt idx="3">
                  <c:v>0.29907000000000011</c:v>
                </c:pt>
                <c:pt idx="4">
                  <c:v>0.22375</c:v>
                </c:pt>
                <c:pt idx="5">
                  <c:v>0.16052</c:v>
                </c:pt>
                <c:pt idx="6">
                  <c:v>0.10913999999999999</c:v>
                </c:pt>
                <c:pt idx="7">
                  <c:v>6.9159999999999999E-2</c:v>
                </c:pt>
                <c:pt idx="8">
                  <c:v>3.9860000000000013E-2</c:v>
                </c:pt>
                <c:pt idx="9">
                  <c:v>1.9899999999999994E-2</c:v>
                </c:pt>
                <c:pt idx="10">
                  <c:v>7.4400000000000039E-3</c:v>
                </c:pt>
                <c:pt idx="11">
                  <c:v>3.1000000000000488E-4</c:v>
                </c:pt>
                <c:pt idx="12">
                  <c:v>-3.2999999999999987E-3</c:v>
                </c:pt>
              </c:numCache>
            </c:numRef>
          </c:val>
        </c:ser>
        <c:ser>
          <c:idx val="4"/>
          <c:order val="5"/>
          <c:spPr>
            <a:ln w="12700">
              <a:solidFill>
                <a:schemeClr val="accent6">
                  <a:lumMod val="75000"/>
                </a:schemeClr>
              </a:solidFill>
              <a:prstDash val="dash"/>
            </a:ln>
          </c:spPr>
          <c:marker>
            <c:symbol val="none"/>
          </c:marker>
          <c:cat>
            <c:numRef>
              <c:f>'IRF Figures.2'!$I$2:$I$14</c:f>
              <c:numCache>
                <c:formatCode>General</c:formatCode>
                <c:ptCount val="13"/>
                <c:pt idx="0">
                  <c:v>0</c:v>
                </c:pt>
                <c:pt idx="1">
                  <c:v>1</c:v>
                </c:pt>
                <c:pt idx="2">
                  <c:v>2</c:v>
                </c:pt>
                <c:pt idx="3">
                  <c:v>3</c:v>
                </c:pt>
                <c:pt idx="4">
                  <c:v>4</c:v>
                </c:pt>
                <c:pt idx="5">
                  <c:v>5</c:v>
                </c:pt>
                <c:pt idx="6">
                  <c:v>6</c:v>
                </c:pt>
                <c:pt idx="7">
                  <c:v>7</c:v>
                </c:pt>
                <c:pt idx="8">
                  <c:v>8</c:v>
                </c:pt>
                <c:pt idx="9">
                  <c:v>9</c:v>
                </c:pt>
                <c:pt idx="10">
                  <c:v>10</c:v>
                </c:pt>
                <c:pt idx="11">
                  <c:v>11</c:v>
                </c:pt>
                <c:pt idx="12">
                  <c:v>12</c:v>
                </c:pt>
              </c:numCache>
            </c:numRef>
          </c:cat>
          <c:val>
            <c:numRef>
              <c:f>'IRF Figures.2'!$BS$80:$BS$92</c:f>
              <c:numCache>
                <c:formatCode>General</c:formatCode>
                <c:ptCount val="13"/>
                <c:pt idx="0">
                  <c:v>0.61648000000000003</c:v>
                </c:pt>
                <c:pt idx="1">
                  <c:v>0.43677000000000016</c:v>
                </c:pt>
                <c:pt idx="2">
                  <c:v>0.31732000000000027</c:v>
                </c:pt>
                <c:pt idx="3">
                  <c:v>0.22366999999999998</c:v>
                </c:pt>
                <c:pt idx="4">
                  <c:v>0.15143000000000006</c:v>
                </c:pt>
                <c:pt idx="5">
                  <c:v>9.8080000000000028E-2</c:v>
                </c:pt>
                <c:pt idx="6">
                  <c:v>6.1039999999999997E-2</c:v>
                </c:pt>
                <c:pt idx="7">
                  <c:v>3.7110000000000004E-2</c:v>
                </c:pt>
                <c:pt idx="8">
                  <c:v>2.2890000000000018E-2</c:v>
                </c:pt>
                <c:pt idx="9">
                  <c:v>1.5379999999999986E-2</c:v>
                </c:pt>
                <c:pt idx="10">
                  <c:v>1.2199999999999982E-2</c:v>
                </c:pt>
                <c:pt idx="11">
                  <c:v>1.1679999999999996E-2</c:v>
                </c:pt>
                <c:pt idx="12">
                  <c:v>1.2709999999999999E-2</c:v>
                </c:pt>
              </c:numCache>
            </c:numRef>
          </c:val>
        </c:ser>
        <c:ser>
          <c:idx val="5"/>
          <c:order val="6"/>
          <c:spPr>
            <a:ln w="12700">
              <a:solidFill>
                <a:schemeClr val="accent6">
                  <a:lumMod val="75000"/>
                </a:schemeClr>
              </a:solidFill>
              <a:prstDash val="dash"/>
            </a:ln>
          </c:spPr>
          <c:marker>
            <c:symbol val="none"/>
          </c:marker>
          <c:cat>
            <c:numRef>
              <c:f>'IRF Figures.2'!$I$2:$I$14</c:f>
              <c:numCache>
                <c:formatCode>General</c:formatCode>
                <c:ptCount val="13"/>
                <c:pt idx="0">
                  <c:v>0</c:v>
                </c:pt>
                <c:pt idx="1">
                  <c:v>1</c:v>
                </c:pt>
                <c:pt idx="2">
                  <c:v>2</c:v>
                </c:pt>
                <c:pt idx="3">
                  <c:v>3</c:v>
                </c:pt>
                <c:pt idx="4">
                  <c:v>4</c:v>
                </c:pt>
                <c:pt idx="5">
                  <c:v>5</c:v>
                </c:pt>
                <c:pt idx="6">
                  <c:v>6</c:v>
                </c:pt>
                <c:pt idx="7">
                  <c:v>7</c:v>
                </c:pt>
                <c:pt idx="8">
                  <c:v>8</c:v>
                </c:pt>
                <c:pt idx="9">
                  <c:v>9</c:v>
                </c:pt>
                <c:pt idx="10">
                  <c:v>10</c:v>
                </c:pt>
                <c:pt idx="11">
                  <c:v>11</c:v>
                </c:pt>
                <c:pt idx="12">
                  <c:v>12</c:v>
                </c:pt>
              </c:numCache>
            </c:numRef>
          </c:cat>
          <c:val>
            <c:numRef>
              <c:f>'IRF Figures.2'!$BW$80:$BW$92</c:f>
              <c:numCache>
                <c:formatCode>General</c:formatCode>
                <c:ptCount val="13"/>
                <c:pt idx="0">
                  <c:v>0.45200000000000007</c:v>
                </c:pt>
                <c:pt idx="1">
                  <c:v>0.22916999999999998</c:v>
                </c:pt>
                <c:pt idx="2">
                  <c:v>7.784000000000002E-2</c:v>
                </c:pt>
                <c:pt idx="3">
                  <c:v>-2.1610000000000011E-2</c:v>
                </c:pt>
                <c:pt idx="4">
                  <c:v>-8.8010000000000047E-2</c:v>
                </c:pt>
                <c:pt idx="5">
                  <c:v>-0.13203999999999999</c:v>
                </c:pt>
                <c:pt idx="6">
                  <c:v>-0.16052</c:v>
                </c:pt>
                <c:pt idx="7">
                  <c:v>-0.17760999999999999</c:v>
                </c:pt>
                <c:pt idx="8">
                  <c:v>-0.18591000000000013</c:v>
                </c:pt>
                <c:pt idx="9">
                  <c:v>-0.18726000000000004</c:v>
                </c:pt>
                <c:pt idx="10">
                  <c:v>-0.18320000000000006</c:v>
                </c:pt>
                <c:pt idx="11">
                  <c:v>-0.17512</c:v>
                </c:pt>
                <c:pt idx="12">
                  <c:v>-0.16433</c:v>
                </c:pt>
              </c:numCache>
            </c:numRef>
          </c:val>
        </c:ser>
        <c:ser>
          <c:idx val="7"/>
          <c:order val="7"/>
          <c:spPr>
            <a:ln w="12700">
              <a:solidFill>
                <a:schemeClr val="accent1">
                  <a:lumMod val="75000"/>
                </a:schemeClr>
              </a:solidFill>
              <a:prstDash val="dash"/>
            </a:ln>
          </c:spPr>
          <c:marker>
            <c:symbol val="none"/>
          </c:marker>
          <c:cat>
            <c:numRef>
              <c:f>'IRF Figures.2'!$I$2:$I$14</c:f>
              <c:numCache>
                <c:formatCode>General</c:formatCode>
                <c:ptCount val="13"/>
                <c:pt idx="0">
                  <c:v>0</c:v>
                </c:pt>
                <c:pt idx="1">
                  <c:v>1</c:v>
                </c:pt>
                <c:pt idx="2">
                  <c:v>2</c:v>
                </c:pt>
                <c:pt idx="3">
                  <c:v>3</c:v>
                </c:pt>
                <c:pt idx="4">
                  <c:v>4</c:v>
                </c:pt>
                <c:pt idx="5">
                  <c:v>5</c:v>
                </c:pt>
                <c:pt idx="6">
                  <c:v>6</c:v>
                </c:pt>
                <c:pt idx="7">
                  <c:v>7</c:v>
                </c:pt>
                <c:pt idx="8">
                  <c:v>8</c:v>
                </c:pt>
                <c:pt idx="9">
                  <c:v>9</c:v>
                </c:pt>
                <c:pt idx="10">
                  <c:v>10</c:v>
                </c:pt>
                <c:pt idx="11">
                  <c:v>11</c:v>
                </c:pt>
                <c:pt idx="12">
                  <c:v>12</c:v>
                </c:pt>
              </c:numCache>
            </c:numRef>
          </c:cat>
          <c:val>
            <c:numRef>
              <c:f>'IRF Figures.2'!$AT$80:$AT$92</c:f>
              <c:numCache>
                <c:formatCode>General</c:formatCode>
                <c:ptCount val="13"/>
                <c:pt idx="0">
                  <c:v>0.65516999999999992</c:v>
                </c:pt>
                <c:pt idx="1">
                  <c:v>0.50415999999999972</c:v>
                </c:pt>
                <c:pt idx="2">
                  <c:v>0.41449000000000008</c:v>
                </c:pt>
                <c:pt idx="3">
                  <c:v>0.34566000000000002</c:v>
                </c:pt>
                <c:pt idx="4">
                  <c:v>0.29162000000000016</c:v>
                </c:pt>
                <c:pt idx="5">
                  <c:v>0.24825000000000005</c:v>
                </c:pt>
                <c:pt idx="6">
                  <c:v>0.21255000000000004</c:v>
                </c:pt>
                <c:pt idx="7">
                  <c:v>0.18255000000000005</c:v>
                </c:pt>
                <c:pt idx="8">
                  <c:v>0.15711000000000006</c:v>
                </c:pt>
                <c:pt idx="9">
                  <c:v>0.13553000000000001</c:v>
                </c:pt>
                <c:pt idx="10">
                  <c:v>0.11727000000000003</c:v>
                </c:pt>
                <c:pt idx="11">
                  <c:v>0.10192000000000002</c:v>
                </c:pt>
                <c:pt idx="12">
                  <c:v>8.9110000000000023E-2</c:v>
                </c:pt>
              </c:numCache>
            </c:numRef>
          </c:val>
        </c:ser>
        <c:ser>
          <c:idx val="10"/>
          <c:order val="8"/>
          <c:spPr>
            <a:ln w="12700">
              <a:solidFill>
                <a:schemeClr val="accent1">
                  <a:lumMod val="75000"/>
                </a:schemeClr>
              </a:solidFill>
              <a:prstDash val="dash"/>
            </a:ln>
          </c:spPr>
          <c:marker>
            <c:symbol val="none"/>
          </c:marker>
          <c:cat>
            <c:numRef>
              <c:f>'IRF Figures.2'!$I$2:$I$14</c:f>
              <c:numCache>
                <c:formatCode>General</c:formatCode>
                <c:ptCount val="13"/>
                <c:pt idx="0">
                  <c:v>0</c:v>
                </c:pt>
                <c:pt idx="1">
                  <c:v>1</c:v>
                </c:pt>
                <c:pt idx="2">
                  <c:v>2</c:v>
                </c:pt>
                <c:pt idx="3">
                  <c:v>3</c:v>
                </c:pt>
                <c:pt idx="4">
                  <c:v>4</c:v>
                </c:pt>
                <c:pt idx="5">
                  <c:v>5</c:v>
                </c:pt>
                <c:pt idx="6">
                  <c:v>6</c:v>
                </c:pt>
                <c:pt idx="7">
                  <c:v>7</c:v>
                </c:pt>
                <c:pt idx="8">
                  <c:v>8</c:v>
                </c:pt>
                <c:pt idx="9">
                  <c:v>9</c:v>
                </c:pt>
                <c:pt idx="10">
                  <c:v>10</c:v>
                </c:pt>
                <c:pt idx="11">
                  <c:v>11</c:v>
                </c:pt>
                <c:pt idx="12">
                  <c:v>12</c:v>
                </c:pt>
              </c:numCache>
            </c:numRef>
          </c:cat>
          <c:val>
            <c:numRef>
              <c:f>'IRF Figures.2'!$AX$80:$AX$92</c:f>
              <c:numCache>
                <c:formatCode>General</c:formatCode>
                <c:ptCount val="13"/>
                <c:pt idx="0">
                  <c:v>0.48249000000000014</c:v>
                </c:pt>
                <c:pt idx="1">
                  <c:v>0.2802</c:v>
                </c:pt>
                <c:pt idx="2">
                  <c:v>0.15281000000000006</c:v>
                </c:pt>
                <c:pt idx="3">
                  <c:v>7.8980000000000022E-2</c:v>
                </c:pt>
                <c:pt idx="4">
                  <c:v>3.218E-2</c:v>
                </c:pt>
                <c:pt idx="5">
                  <c:v>-7.0999999999998885E-4</c:v>
                </c:pt>
                <c:pt idx="6">
                  <c:v>-2.5929999999999995E-2</c:v>
                </c:pt>
                <c:pt idx="7">
                  <c:v>-4.6530000000000002E-2</c:v>
                </c:pt>
                <c:pt idx="8">
                  <c:v>-6.4170000000000019E-2</c:v>
                </c:pt>
                <c:pt idx="9">
                  <c:v>-7.9750000000000029E-2</c:v>
                </c:pt>
                <c:pt idx="10">
                  <c:v>-9.3770000000000034E-2</c:v>
                </c:pt>
                <c:pt idx="11">
                  <c:v>-0.10643999999999998</c:v>
                </c:pt>
                <c:pt idx="12">
                  <c:v>-0.11793000000000002</c:v>
                </c:pt>
              </c:numCache>
            </c:numRef>
          </c:val>
        </c:ser>
        <c:marker val="1"/>
        <c:axId val="114417664"/>
        <c:axId val="114419584"/>
      </c:lineChart>
      <c:catAx>
        <c:axId val="114417664"/>
        <c:scaling>
          <c:orientation val="minMax"/>
        </c:scaling>
        <c:axPos val="b"/>
        <c:title>
          <c:tx>
            <c:rich>
              <a:bodyPr/>
              <a:lstStyle/>
              <a:p>
                <a:pPr>
                  <a:defRPr b="1"/>
                </a:pPr>
                <a:r>
                  <a:rPr lang="en-US" b="1"/>
                  <a:t>Quarter</a:t>
                </a:r>
              </a:p>
            </c:rich>
          </c:tx>
        </c:title>
        <c:numFmt formatCode="General" sourceLinked="1"/>
        <c:tickLblPos val="nextTo"/>
        <c:crossAx val="114419584"/>
        <c:crosses val="autoZero"/>
        <c:auto val="1"/>
        <c:lblAlgn val="ctr"/>
        <c:lblOffset val="100"/>
      </c:catAx>
      <c:valAx>
        <c:axId val="114419584"/>
        <c:scaling>
          <c:orientation val="minMax"/>
          <c:max val="0.65000000000000036"/>
          <c:min val="-0.35000000000000014"/>
        </c:scaling>
        <c:axPos val="l"/>
        <c:title>
          <c:tx>
            <c:rich>
              <a:bodyPr rot="-5400000" vert="horz"/>
              <a:lstStyle/>
              <a:p>
                <a:pPr>
                  <a:defRPr b="1"/>
                </a:pPr>
                <a:r>
                  <a:rPr lang="en-US" b="1"/>
                  <a:t>Response</a:t>
                </a:r>
              </a:p>
            </c:rich>
          </c:tx>
        </c:title>
        <c:numFmt formatCode="General" sourceLinked="1"/>
        <c:tickLblPos val="nextTo"/>
        <c:spPr>
          <a:ln w="3175"/>
        </c:spPr>
        <c:crossAx val="114417664"/>
        <c:crosses val="autoZero"/>
        <c:crossBetween val="midCat"/>
      </c:valAx>
    </c:plotArea>
    <c:legend>
      <c:legendPos val="r"/>
      <c:legendEntry>
        <c:idx val="3"/>
        <c:delete val="1"/>
      </c:legendEntry>
      <c:legendEntry>
        <c:idx val="4"/>
        <c:delete val="1"/>
      </c:legendEntry>
      <c:legendEntry>
        <c:idx val="5"/>
        <c:delete val="1"/>
      </c:legendEntry>
      <c:legendEntry>
        <c:idx val="6"/>
        <c:delete val="1"/>
      </c:legendEntry>
      <c:legendEntry>
        <c:idx val="7"/>
        <c:delete val="1"/>
      </c:legendEntry>
      <c:legendEntry>
        <c:idx val="8"/>
        <c:delete val="1"/>
      </c:legendEntry>
      <c:layout>
        <c:manualLayout>
          <c:xMode val="edge"/>
          <c:yMode val="edge"/>
          <c:x val="0.83495486930834928"/>
          <c:y val="4.7077238334493491E-3"/>
          <c:w val="0.16504513069165092"/>
          <c:h val="0.24133619002954276"/>
        </c:manualLayout>
      </c:layout>
      <c:overlay val="1"/>
    </c:legend>
    <c:plotVisOnly val="1"/>
    <c:dispBlanksAs val="gap"/>
  </c:chart>
  <c:spPr>
    <a:ln>
      <a:noFill/>
    </a:ln>
  </c:spPr>
  <c:txPr>
    <a:bodyPr/>
    <a:lstStyle/>
    <a:p>
      <a:pPr>
        <a:defRPr sz="1000" b="0">
          <a:latin typeface="Times New Roman" panose="02020603050405020304" pitchFamily="18" charset="0"/>
          <a:cs typeface="Times New Roman" panose="02020603050405020304" pitchFamily="18" charset="0"/>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315AC3D-D37F-4457-832D-4FCFAD2D6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9536</Words>
  <Characters>54358</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Clemson University</Company>
  <LinksUpToDate>false</LinksUpToDate>
  <CharactersWithSpaces>63767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jwiley</dc:creator>
  <cp:lastModifiedBy>owner</cp:lastModifiedBy>
  <cp:revision>2</cp:revision>
  <cp:lastPrinted>2014-12-23T13:07:00Z</cp:lastPrinted>
  <dcterms:created xsi:type="dcterms:W3CDTF">2015-01-26T21:16:00Z</dcterms:created>
  <dcterms:modified xsi:type="dcterms:W3CDTF">2015-01-26T21:16:00Z</dcterms:modified>
</cp:coreProperties>
</file>