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CD4" w:rsidRPr="00977958" w:rsidRDefault="00E83CD4" w:rsidP="00E83CD4">
      <w:pPr>
        <w:pStyle w:val="DefaultText"/>
        <w:tabs>
          <w:tab w:val="left" w:pos="3348"/>
        </w:tabs>
        <w:spacing w:line="480" w:lineRule="auto"/>
        <w:jc w:val="center"/>
        <w:rPr>
          <w:rFonts w:ascii="Garamond" w:hAnsi="Garamond" w:cs="Arial"/>
          <w:b/>
          <w:bCs/>
          <w:sz w:val="28"/>
          <w:szCs w:val="22"/>
        </w:rPr>
      </w:pPr>
      <w:r w:rsidRPr="00977958">
        <w:rPr>
          <w:rFonts w:ascii="Garamond" w:hAnsi="Garamond" w:cs="Arial"/>
          <w:b/>
          <w:bCs/>
          <w:sz w:val="32"/>
          <w:szCs w:val="22"/>
        </w:rPr>
        <w:t xml:space="preserve">Does Foreign Investment Affect </w:t>
      </w:r>
      <w:r w:rsidR="00B822D1" w:rsidRPr="00977958">
        <w:rPr>
          <w:rFonts w:ascii="Garamond" w:hAnsi="Garamond" w:cs="Arial"/>
          <w:b/>
          <w:bCs/>
          <w:sz w:val="32"/>
          <w:szCs w:val="22"/>
        </w:rPr>
        <w:t>US</w:t>
      </w:r>
      <w:r w:rsidRPr="00977958">
        <w:rPr>
          <w:rFonts w:ascii="Garamond" w:hAnsi="Garamond" w:cs="Arial"/>
          <w:b/>
          <w:bCs/>
          <w:sz w:val="32"/>
          <w:szCs w:val="22"/>
        </w:rPr>
        <w:t xml:space="preserve"> Office Real Estate Prices?</w:t>
      </w:r>
      <w:r w:rsidR="00EB5B66" w:rsidRPr="00977958">
        <w:rPr>
          <w:rStyle w:val="FootnoteReference"/>
          <w:rFonts w:ascii="Garamond" w:hAnsi="Garamond" w:cs="Arial"/>
          <w:b/>
          <w:bCs/>
          <w:sz w:val="28"/>
          <w:szCs w:val="22"/>
        </w:rPr>
        <w:footnoteReference w:customMarkFollows="1" w:id="1"/>
        <w:t>*</w:t>
      </w:r>
    </w:p>
    <w:p w:rsidR="00E83CD4" w:rsidRPr="00977958" w:rsidRDefault="00E83CD4" w:rsidP="00E83CD4">
      <w:pPr>
        <w:jc w:val="center"/>
        <w:rPr>
          <w:rStyle w:val="SubtleEmphasis"/>
          <w:rFonts w:ascii="Garamond" w:hAnsi="Garamond"/>
          <w:color w:val="000000" w:themeColor="text1"/>
        </w:rPr>
      </w:pPr>
      <w:r w:rsidRPr="00977958">
        <w:rPr>
          <w:rStyle w:val="SubtleReference"/>
          <w:rFonts w:ascii="Garamond" w:hAnsi="Garamond"/>
          <w:color w:val="000000" w:themeColor="text1"/>
          <w:sz w:val="28"/>
          <w:u w:val="none"/>
        </w:rPr>
        <w:t>Pat McAllister,     Anupam Nanda</w:t>
      </w:r>
      <w:r w:rsidR="00EB5B66" w:rsidRPr="00977958">
        <w:rPr>
          <w:rStyle w:val="FootnoteReference"/>
          <w:rFonts w:ascii="Garamond" w:hAnsi="Garamond"/>
          <w:i/>
          <w:iCs/>
          <w:color w:val="000000" w:themeColor="text1"/>
        </w:rPr>
        <w:footnoteReference w:customMarkFollows="1" w:id="2"/>
        <w:t>**</w:t>
      </w:r>
    </w:p>
    <w:p w:rsidR="00E83CD4" w:rsidRPr="00977958" w:rsidRDefault="00E83CD4" w:rsidP="00E83CD4">
      <w:pPr>
        <w:jc w:val="center"/>
        <w:rPr>
          <w:rStyle w:val="SubtleEmphasis"/>
          <w:rFonts w:ascii="Garamond" w:hAnsi="Garamond"/>
          <w:i w:val="0"/>
          <w:color w:val="000000" w:themeColor="text1"/>
        </w:rPr>
      </w:pPr>
    </w:p>
    <w:p w:rsidR="00E83CD4" w:rsidRPr="00977958" w:rsidRDefault="00E83CD4" w:rsidP="00E83CD4">
      <w:pPr>
        <w:pStyle w:val="DefaultText"/>
        <w:tabs>
          <w:tab w:val="left" w:pos="3348"/>
        </w:tabs>
        <w:spacing w:line="360" w:lineRule="auto"/>
        <w:jc w:val="both"/>
        <w:rPr>
          <w:rFonts w:ascii="Garamond" w:hAnsi="Garamond" w:cs="Arial"/>
          <w:b/>
          <w:bCs/>
          <w:sz w:val="22"/>
          <w:szCs w:val="22"/>
        </w:rPr>
      </w:pPr>
    </w:p>
    <w:p w:rsidR="00E83CD4" w:rsidRPr="00977958" w:rsidRDefault="00E83CD4" w:rsidP="00E83CD4">
      <w:pPr>
        <w:pStyle w:val="DefaultText"/>
        <w:keepNext/>
        <w:keepLines/>
        <w:tabs>
          <w:tab w:val="left" w:pos="3348"/>
          <w:tab w:val="left" w:pos="8647"/>
        </w:tabs>
        <w:spacing w:line="360" w:lineRule="auto"/>
        <w:ind w:left="993"/>
        <w:jc w:val="both"/>
        <w:rPr>
          <w:rFonts w:ascii="Garamond" w:hAnsi="Garamond" w:cs="Arial"/>
          <w:b/>
          <w:bCs/>
          <w:sz w:val="22"/>
          <w:szCs w:val="22"/>
        </w:rPr>
      </w:pPr>
    </w:p>
    <w:p w:rsidR="00E83CD4" w:rsidRPr="00977958" w:rsidRDefault="00E83CD4" w:rsidP="00E83CD4">
      <w:pPr>
        <w:pStyle w:val="DefaultText"/>
        <w:keepNext/>
        <w:keepLines/>
        <w:tabs>
          <w:tab w:val="left" w:pos="3348"/>
          <w:tab w:val="left" w:pos="8647"/>
        </w:tabs>
        <w:spacing w:line="360" w:lineRule="auto"/>
        <w:ind w:left="993"/>
        <w:jc w:val="both"/>
        <w:rPr>
          <w:rFonts w:ascii="Garamond" w:hAnsi="Garamond" w:cs="Arial"/>
          <w:b/>
          <w:bCs/>
          <w:sz w:val="22"/>
          <w:szCs w:val="22"/>
        </w:rPr>
      </w:pPr>
      <w:r w:rsidRPr="00977958">
        <w:rPr>
          <w:rFonts w:ascii="Garamond" w:hAnsi="Garamond" w:cs="Arial"/>
          <w:b/>
          <w:bCs/>
          <w:sz w:val="22"/>
          <w:szCs w:val="22"/>
        </w:rPr>
        <w:t>ABSTRACT</w:t>
      </w:r>
    </w:p>
    <w:p w:rsidR="00E83CD4" w:rsidRPr="00977958" w:rsidRDefault="00E83CD4" w:rsidP="00E83CD4">
      <w:pPr>
        <w:pStyle w:val="NoSpacing"/>
        <w:tabs>
          <w:tab w:val="left" w:pos="8647"/>
        </w:tabs>
        <w:ind w:left="993" w:right="815"/>
        <w:jc w:val="both"/>
        <w:rPr>
          <w:rFonts w:ascii="Garamond" w:hAnsi="Garamond"/>
          <w:sz w:val="24"/>
        </w:rPr>
      </w:pPr>
      <w:r w:rsidRPr="00977958">
        <w:rPr>
          <w:rFonts w:ascii="Garamond" w:hAnsi="Garamond"/>
          <w:sz w:val="24"/>
        </w:rPr>
        <w:t xml:space="preserve">This study examines the impact of foreign real estate investment on the US office market </w:t>
      </w:r>
      <w:r w:rsidR="000D186C" w:rsidRPr="00977958">
        <w:rPr>
          <w:rFonts w:ascii="Garamond" w:hAnsi="Garamond"/>
          <w:sz w:val="24"/>
        </w:rPr>
        <w:t>capitalization</w:t>
      </w:r>
      <w:r w:rsidRPr="00977958">
        <w:rPr>
          <w:rFonts w:ascii="Garamond" w:hAnsi="Garamond"/>
          <w:sz w:val="24"/>
        </w:rPr>
        <w:t xml:space="preserve"> rates. The geographic unit of analysis is MSA and the time period is 2001-2013. Drawing upon a database of commercial real estate transactions provided by Real Capital Analytics, we model the determinants of market capitalization rates with a particular focus on the significance of the proportion of market transactions involving foreign investors. We have employed several econometric techniques to explore the data</w:t>
      </w:r>
      <w:r w:rsidR="000D186C" w:rsidRPr="00977958">
        <w:rPr>
          <w:rFonts w:ascii="Garamond" w:hAnsi="Garamond"/>
          <w:sz w:val="24"/>
        </w:rPr>
        <w:t>, potential estimation biases,</w:t>
      </w:r>
      <w:r w:rsidRPr="00977958">
        <w:rPr>
          <w:rFonts w:ascii="Garamond" w:hAnsi="Garamond"/>
          <w:sz w:val="24"/>
        </w:rPr>
        <w:t xml:space="preserve"> and test robustness of the results. The results suggest statistically significant effects of foreign investment across 3</w:t>
      </w:r>
      <w:r w:rsidR="007227F0" w:rsidRPr="00977958">
        <w:rPr>
          <w:rFonts w:ascii="Garamond" w:hAnsi="Garamond"/>
          <w:sz w:val="24"/>
        </w:rPr>
        <w:t>8</w:t>
      </w:r>
      <w:r w:rsidRPr="00977958">
        <w:rPr>
          <w:rFonts w:ascii="Garamond" w:hAnsi="Garamond"/>
          <w:sz w:val="24"/>
        </w:rPr>
        <w:t xml:space="preserve"> US metro areas. </w:t>
      </w:r>
      <w:r w:rsidR="000D186C" w:rsidRPr="00977958">
        <w:rPr>
          <w:rFonts w:ascii="Garamond" w:hAnsi="Garamond"/>
          <w:sz w:val="24"/>
        </w:rPr>
        <w:t>It is estimated that, all else equal, a 100 basis points increase in foreign share of total investment in a US metropolitan office market causes about a</w:t>
      </w:r>
      <w:r w:rsidR="00CC25B9">
        <w:rPr>
          <w:rFonts w:ascii="Garamond" w:hAnsi="Garamond"/>
          <w:sz w:val="24"/>
        </w:rPr>
        <w:t>n</w:t>
      </w:r>
      <w:r w:rsidR="000D186C" w:rsidRPr="00977958">
        <w:rPr>
          <w:rFonts w:ascii="Garamond" w:hAnsi="Garamond"/>
          <w:sz w:val="24"/>
        </w:rPr>
        <w:t xml:space="preserve"> </w:t>
      </w:r>
      <w:r w:rsidR="00CC25B9">
        <w:rPr>
          <w:rFonts w:ascii="Garamond" w:hAnsi="Garamond"/>
          <w:sz w:val="24"/>
        </w:rPr>
        <w:t>8</w:t>
      </w:r>
      <w:r w:rsidR="000D186C" w:rsidRPr="00977958">
        <w:rPr>
          <w:rFonts w:ascii="Garamond" w:hAnsi="Garamond"/>
          <w:sz w:val="24"/>
        </w:rPr>
        <w:t xml:space="preserve"> basis point</w:t>
      </w:r>
      <w:r w:rsidR="00F75DA8" w:rsidRPr="00977958">
        <w:rPr>
          <w:rFonts w:ascii="Garamond" w:hAnsi="Garamond"/>
          <w:sz w:val="24"/>
        </w:rPr>
        <w:t>s</w:t>
      </w:r>
      <w:r w:rsidR="000D186C" w:rsidRPr="00977958">
        <w:rPr>
          <w:rFonts w:ascii="Garamond" w:hAnsi="Garamond"/>
          <w:sz w:val="24"/>
        </w:rPr>
        <w:t xml:space="preserve"> decrease in the market cap rate.</w:t>
      </w:r>
    </w:p>
    <w:p w:rsidR="00E83CD4" w:rsidRPr="00977958" w:rsidRDefault="00E83CD4" w:rsidP="00E83CD4">
      <w:pPr>
        <w:pStyle w:val="NoSpacing"/>
        <w:tabs>
          <w:tab w:val="left" w:pos="8647"/>
        </w:tabs>
        <w:ind w:left="993" w:right="815"/>
        <w:jc w:val="both"/>
        <w:rPr>
          <w:rFonts w:ascii="Garamond" w:hAnsi="Garamond"/>
          <w:i/>
          <w:sz w:val="24"/>
        </w:rPr>
      </w:pPr>
    </w:p>
    <w:p w:rsidR="00E83CD4" w:rsidRPr="00977958" w:rsidRDefault="00E83CD4" w:rsidP="00012BAB">
      <w:pPr>
        <w:pStyle w:val="NoSpacing"/>
        <w:tabs>
          <w:tab w:val="left" w:pos="8647"/>
        </w:tabs>
        <w:ind w:left="284"/>
        <w:rPr>
          <w:rFonts w:ascii="Garamond" w:hAnsi="Garamond"/>
          <w:sz w:val="24"/>
        </w:rPr>
      </w:pPr>
      <w:r w:rsidRPr="00977958">
        <w:rPr>
          <w:rFonts w:ascii="Garamond" w:hAnsi="Garamond"/>
          <w:i/>
          <w:sz w:val="24"/>
        </w:rPr>
        <w:t>Keywords</w:t>
      </w:r>
      <w:r w:rsidRPr="00977958">
        <w:rPr>
          <w:rFonts w:ascii="Garamond" w:hAnsi="Garamond"/>
          <w:sz w:val="24"/>
        </w:rPr>
        <w:t xml:space="preserve">:  Foreign investment, Capitalization Rate, Real Estate, Panel data.  </w:t>
      </w:r>
    </w:p>
    <w:p w:rsidR="00E83CD4" w:rsidRPr="00977958" w:rsidRDefault="00E83CD4" w:rsidP="00012BAB">
      <w:pPr>
        <w:pStyle w:val="NoSpacing"/>
        <w:tabs>
          <w:tab w:val="left" w:pos="8647"/>
        </w:tabs>
        <w:ind w:left="284"/>
        <w:rPr>
          <w:rFonts w:ascii="Garamond" w:hAnsi="Garamond"/>
          <w:sz w:val="24"/>
        </w:rPr>
      </w:pPr>
      <w:r w:rsidRPr="00977958">
        <w:rPr>
          <w:rFonts w:ascii="Garamond" w:hAnsi="Garamond"/>
          <w:i/>
          <w:sz w:val="24"/>
        </w:rPr>
        <w:t>JEL Classifications</w:t>
      </w:r>
      <w:r w:rsidRPr="00977958">
        <w:rPr>
          <w:rFonts w:ascii="Garamond" w:hAnsi="Garamond"/>
          <w:sz w:val="24"/>
        </w:rPr>
        <w:t>:  F21, G15, R11, C33</w:t>
      </w:r>
    </w:p>
    <w:p w:rsidR="00E83CD4" w:rsidRPr="00977958" w:rsidRDefault="00E83CD4" w:rsidP="00E83CD4">
      <w:pPr>
        <w:pStyle w:val="DefaultText"/>
        <w:keepNext/>
        <w:keepLines/>
        <w:tabs>
          <w:tab w:val="left" w:pos="3348"/>
        </w:tabs>
        <w:spacing w:line="360" w:lineRule="auto"/>
        <w:jc w:val="both"/>
        <w:rPr>
          <w:rFonts w:ascii="Garamond" w:hAnsi="Garamond"/>
          <w:b/>
          <w:noProof/>
          <w:szCs w:val="24"/>
        </w:rPr>
      </w:pPr>
      <w:r w:rsidRPr="00977958">
        <w:rPr>
          <w:rFonts w:ascii="Garamond" w:hAnsi="Garamond" w:cs="Arial"/>
          <w:bCs/>
          <w:sz w:val="22"/>
          <w:szCs w:val="22"/>
        </w:rPr>
        <w:br/>
      </w:r>
      <w:r w:rsidRPr="00977958">
        <w:rPr>
          <w:rFonts w:ascii="Garamond" w:hAnsi="Garamond"/>
          <w:b/>
          <w:noProof/>
          <w:szCs w:val="24"/>
        </w:rPr>
        <w:br w:type="page"/>
      </w:r>
    </w:p>
    <w:p w:rsidR="00023B99" w:rsidRPr="00977958" w:rsidRDefault="001C4E4C" w:rsidP="000F20C1">
      <w:pPr>
        <w:pStyle w:val="NoSpacing"/>
        <w:spacing w:line="360" w:lineRule="auto"/>
        <w:jc w:val="both"/>
        <w:rPr>
          <w:rFonts w:ascii="Garamond" w:hAnsi="Garamond"/>
          <w:b/>
          <w:sz w:val="24"/>
          <w:szCs w:val="24"/>
        </w:rPr>
      </w:pPr>
      <w:r w:rsidRPr="00977958">
        <w:rPr>
          <w:rFonts w:ascii="Garamond" w:hAnsi="Garamond"/>
          <w:b/>
          <w:sz w:val="24"/>
          <w:szCs w:val="24"/>
        </w:rPr>
        <w:lastRenderedPageBreak/>
        <w:t>I</w:t>
      </w:r>
      <w:r w:rsidR="00640EA6" w:rsidRPr="00977958">
        <w:rPr>
          <w:rFonts w:ascii="Garamond" w:hAnsi="Garamond"/>
          <w:b/>
          <w:sz w:val="24"/>
          <w:szCs w:val="24"/>
        </w:rPr>
        <w:t>NTRODUCTION</w:t>
      </w:r>
    </w:p>
    <w:p w:rsidR="005238A1" w:rsidRPr="00977958" w:rsidRDefault="005238A1" w:rsidP="00C97437">
      <w:pPr>
        <w:pStyle w:val="NoSpacing"/>
        <w:spacing w:line="360" w:lineRule="auto"/>
        <w:jc w:val="both"/>
        <w:rPr>
          <w:rFonts w:ascii="Garamond" w:hAnsi="Garamond"/>
          <w:sz w:val="24"/>
          <w:szCs w:val="24"/>
        </w:rPr>
      </w:pPr>
    </w:p>
    <w:p w:rsidR="00023B99" w:rsidRPr="00977958" w:rsidRDefault="005E641B" w:rsidP="00C97437">
      <w:pPr>
        <w:pStyle w:val="NoSpacing"/>
        <w:spacing w:line="360" w:lineRule="auto"/>
        <w:jc w:val="both"/>
        <w:rPr>
          <w:rFonts w:ascii="Garamond" w:hAnsi="Garamond"/>
          <w:sz w:val="24"/>
          <w:szCs w:val="24"/>
        </w:rPr>
      </w:pPr>
      <w:r w:rsidRPr="00977958">
        <w:rPr>
          <w:rFonts w:ascii="Garamond" w:hAnsi="Garamond"/>
          <w:sz w:val="24"/>
          <w:szCs w:val="24"/>
        </w:rPr>
        <w:t>The growth of cross-border real estate investment in recent decades has gene</w:t>
      </w:r>
      <w:r w:rsidR="00382046" w:rsidRPr="00977958">
        <w:rPr>
          <w:rFonts w:ascii="Garamond" w:hAnsi="Garamond"/>
          <w:sz w:val="24"/>
          <w:szCs w:val="24"/>
        </w:rPr>
        <w:t xml:space="preserve">rated increasing interest </w:t>
      </w:r>
      <w:r w:rsidR="00CC4717" w:rsidRPr="00977958">
        <w:rPr>
          <w:rFonts w:ascii="Garamond" w:hAnsi="Garamond"/>
          <w:sz w:val="24"/>
          <w:szCs w:val="24"/>
        </w:rPr>
        <w:t>about its</w:t>
      </w:r>
      <w:r w:rsidR="00382046" w:rsidRPr="00977958">
        <w:rPr>
          <w:rFonts w:ascii="Garamond" w:hAnsi="Garamond"/>
          <w:sz w:val="24"/>
          <w:szCs w:val="24"/>
        </w:rPr>
        <w:t xml:space="preserve"> characteristics</w:t>
      </w:r>
      <w:r w:rsidRPr="00977958">
        <w:rPr>
          <w:rFonts w:ascii="Garamond" w:hAnsi="Garamond"/>
          <w:sz w:val="24"/>
          <w:szCs w:val="24"/>
        </w:rPr>
        <w:t xml:space="preserve"> and impact</w:t>
      </w:r>
      <w:r w:rsidR="00382046" w:rsidRPr="00977958">
        <w:rPr>
          <w:rFonts w:ascii="Garamond" w:hAnsi="Garamond"/>
          <w:sz w:val="24"/>
          <w:szCs w:val="24"/>
        </w:rPr>
        <w:t>s</w:t>
      </w:r>
      <w:r w:rsidR="008926CA" w:rsidRPr="00977958">
        <w:rPr>
          <w:rFonts w:ascii="Garamond" w:hAnsi="Garamond"/>
          <w:sz w:val="24"/>
          <w:szCs w:val="24"/>
        </w:rPr>
        <w:t xml:space="preserve">. </w:t>
      </w:r>
      <w:r w:rsidRPr="00977958">
        <w:rPr>
          <w:rFonts w:ascii="Garamond" w:hAnsi="Garamond"/>
          <w:sz w:val="24"/>
          <w:szCs w:val="24"/>
        </w:rPr>
        <w:t xml:space="preserve"> </w:t>
      </w:r>
      <w:r w:rsidR="005238A1" w:rsidRPr="00977958">
        <w:rPr>
          <w:rFonts w:ascii="Garamond" w:hAnsi="Garamond"/>
          <w:sz w:val="24"/>
          <w:szCs w:val="24"/>
        </w:rPr>
        <w:t xml:space="preserve">Although there is little empirical evidence, foreign investors are frequently perceived to be affecting prices. This paper reports on research investigating the relationship between the activity of foreign investors in different </w:t>
      </w:r>
      <w:r w:rsidR="00682108" w:rsidRPr="00977958">
        <w:rPr>
          <w:rFonts w:ascii="Garamond" w:hAnsi="Garamond"/>
          <w:sz w:val="24"/>
          <w:szCs w:val="24"/>
        </w:rPr>
        <w:t>US</w:t>
      </w:r>
      <w:r w:rsidR="005238A1" w:rsidRPr="00977958">
        <w:rPr>
          <w:rFonts w:ascii="Garamond" w:hAnsi="Garamond"/>
          <w:sz w:val="24"/>
          <w:szCs w:val="24"/>
        </w:rPr>
        <w:t xml:space="preserve"> office markets and capitalization rates. </w:t>
      </w:r>
      <w:r w:rsidR="00CC4717" w:rsidRPr="00977958">
        <w:rPr>
          <w:rFonts w:ascii="Garamond" w:hAnsi="Garamond"/>
          <w:sz w:val="24"/>
          <w:szCs w:val="24"/>
        </w:rPr>
        <w:t xml:space="preserve">An important market shift in this period has been the global transformation in the range and scope of real estate investment </w:t>
      </w:r>
      <w:r w:rsidR="000D186C" w:rsidRPr="00977958">
        <w:rPr>
          <w:rFonts w:ascii="Garamond" w:hAnsi="Garamond"/>
          <w:sz w:val="24"/>
          <w:szCs w:val="24"/>
        </w:rPr>
        <w:t>organization</w:t>
      </w:r>
      <w:r w:rsidR="00CC4717" w:rsidRPr="00977958">
        <w:rPr>
          <w:rFonts w:ascii="Garamond" w:hAnsi="Garamond"/>
          <w:sz w:val="24"/>
          <w:szCs w:val="24"/>
        </w:rPr>
        <w:t>s and their third party service providers</w:t>
      </w:r>
      <w:r w:rsidR="008926CA" w:rsidRPr="00977958">
        <w:rPr>
          <w:rFonts w:ascii="Garamond" w:hAnsi="Garamond"/>
          <w:sz w:val="24"/>
          <w:szCs w:val="24"/>
        </w:rPr>
        <w:t xml:space="preserve">. </w:t>
      </w:r>
      <w:r w:rsidR="00CC4717" w:rsidRPr="00977958">
        <w:rPr>
          <w:rFonts w:ascii="Garamond" w:hAnsi="Garamond"/>
          <w:sz w:val="24"/>
          <w:szCs w:val="24"/>
        </w:rPr>
        <w:t xml:space="preserve">In addition to </w:t>
      </w:r>
      <w:r w:rsidR="005238A1" w:rsidRPr="00977958">
        <w:rPr>
          <w:rFonts w:ascii="Garamond" w:hAnsi="Garamond"/>
          <w:sz w:val="24"/>
          <w:szCs w:val="24"/>
        </w:rPr>
        <w:t>relatively</w:t>
      </w:r>
      <w:r w:rsidR="00CC4717" w:rsidRPr="00977958">
        <w:rPr>
          <w:rFonts w:ascii="Garamond" w:hAnsi="Garamond"/>
          <w:sz w:val="24"/>
          <w:szCs w:val="24"/>
        </w:rPr>
        <w:t xml:space="preserve"> long established institutional investors such as pension funds, insurance companies and listed real estate companies/trusts, other types of real estate investment </w:t>
      </w:r>
      <w:r w:rsidR="000D186C" w:rsidRPr="00977958">
        <w:rPr>
          <w:rFonts w:ascii="Garamond" w:hAnsi="Garamond"/>
          <w:sz w:val="24"/>
          <w:szCs w:val="24"/>
        </w:rPr>
        <w:t>organization</w:t>
      </w:r>
      <w:r w:rsidR="00CC4717" w:rsidRPr="00977958">
        <w:rPr>
          <w:rFonts w:ascii="Garamond" w:hAnsi="Garamond"/>
          <w:sz w:val="24"/>
          <w:szCs w:val="24"/>
        </w:rPr>
        <w:t>s have become increasingly prominent</w:t>
      </w:r>
      <w:r w:rsidR="008926CA" w:rsidRPr="00977958">
        <w:rPr>
          <w:rFonts w:ascii="Garamond" w:hAnsi="Garamond"/>
          <w:sz w:val="24"/>
          <w:szCs w:val="24"/>
        </w:rPr>
        <w:t xml:space="preserve">. </w:t>
      </w:r>
      <w:r w:rsidR="00CC4717" w:rsidRPr="00977958">
        <w:rPr>
          <w:rFonts w:ascii="Garamond" w:hAnsi="Garamond"/>
          <w:sz w:val="24"/>
          <w:szCs w:val="24"/>
        </w:rPr>
        <w:t>Sovereign wealth funds, specialist open and closed end real estate funds, investment banks, specialist real estate investment managers, private equity groups and endowment funds have emerged as significant market participants</w:t>
      </w:r>
      <w:r w:rsidR="005238A1" w:rsidRPr="00977958">
        <w:rPr>
          <w:rFonts w:ascii="Garamond" w:hAnsi="Garamond"/>
          <w:sz w:val="24"/>
          <w:szCs w:val="24"/>
        </w:rPr>
        <w:t>. A</w:t>
      </w:r>
      <w:r w:rsidR="00CC4717" w:rsidRPr="00977958">
        <w:rPr>
          <w:rFonts w:ascii="Garamond" w:hAnsi="Garamond"/>
          <w:sz w:val="24"/>
          <w:szCs w:val="24"/>
        </w:rPr>
        <w:t xml:space="preserve"> number of these </w:t>
      </w:r>
      <w:r w:rsidR="005238A1" w:rsidRPr="00977958">
        <w:rPr>
          <w:rFonts w:ascii="Garamond" w:hAnsi="Garamond"/>
          <w:sz w:val="24"/>
          <w:szCs w:val="24"/>
        </w:rPr>
        <w:t xml:space="preserve">investment </w:t>
      </w:r>
      <w:r w:rsidR="000D186C" w:rsidRPr="00977958">
        <w:rPr>
          <w:rFonts w:ascii="Garamond" w:hAnsi="Garamond"/>
          <w:sz w:val="24"/>
          <w:szCs w:val="24"/>
        </w:rPr>
        <w:t>organization</w:t>
      </w:r>
      <w:r w:rsidR="00CC4717" w:rsidRPr="00977958">
        <w:rPr>
          <w:rFonts w:ascii="Garamond" w:hAnsi="Garamond"/>
          <w:sz w:val="24"/>
          <w:szCs w:val="24"/>
        </w:rPr>
        <w:t xml:space="preserve">s </w:t>
      </w:r>
      <w:r w:rsidR="005238A1" w:rsidRPr="00977958">
        <w:rPr>
          <w:rFonts w:ascii="Garamond" w:hAnsi="Garamond"/>
          <w:sz w:val="24"/>
          <w:szCs w:val="24"/>
        </w:rPr>
        <w:t>have cre</w:t>
      </w:r>
      <w:r w:rsidR="00CC4717" w:rsidRPr="00977958">
        <w:rPr>
          <w:rFonts w:ascii="Garamond" w:hAnsi="Garamond"/>
          <w:sz w:val="24"/>
          <w:szCs w:val="24"/>
        </w:rPr>
        <w:t>at</w:t>
      </w:r>
      <w:r w:rsidR="005238A1" w:rsidRPr="00977958">
        <w:rPr>
          <w:rFonts w:ascii="Garamond" w:hAnsi="Garamond"/>
          <w:sz w:val="24"/>
          <w:szCs w:val="24"/>
        </w:rPr>
        <w:t>ed</w:t>
      </w:r>
      <w:r w:rsidR="00CC4717" w:rsidRPr="00977958">
        <w:rPr>
          <w:rFonts w:ascii="Garamond" w:hAnsi="Garamond"/>
          <w:sz w:val="24"/>
          <w:szCs w:val="24"/>
        </w:rPr>
        <w:t xml:space="preserve"> global operational platforms to execute international real estate investment strategies</w:t>
      </w:r>
      <w:r w:rsidR="008926CA" w:rsidRPr="00977958">
        <w:rPr>
          <w:rFonts w:ascii="Garamond" w:hAnsi="Garamond"/>
          <w:sz w:val="24"/>
          <w:szCs w:val="24"/>
        </w:rPr>
        <w:t xml:space="preserve">. </w:t>
      </w:r>
    </w:p>
    <w:p w:rsidR="00023B99" w:rsidRPr="00977958" w:rsidRDefault="00023B99" w:rsidP="00C97437">
      <w:pPr>
        <w:pStyle w:val="NoSpacing"/>
        <w:spacing w:line="360" w:lineRule="auto"/>
        <w:jc w:val="both"/>
        <w:rPr>
          <w:rFonts w:ascii="Garamond" w:hAnsi="Garamond"/>
          <w:sz w:val="24"/>
          <w:szCs w:val="24"/>
        </w:rPr>
      </w:pPr>
    </w:p>
    <w:p w:rsidR="00464381" w:rsidRPr="00977958" w:rsidRDefault="0080260F" w:rsidP="00C97437">
      <w:pPr>
        <w:pStyle w:val="NoSpacing"/>
        <w:spacing w:line="360" w:lineRule="auto"/>
        <w:jc w:val="both"/>
        <w:rPr>
          <w:rFonts w:ascii="Garamond" w:hAnsi="Garamond"/>
          <w:sz w:val="24"/>
          <w:szCs w:val="24"/>
          <w:lang w:val="en-US"/>
        </w:rPr>
      </w:pPr>
      <w:r w:rsidRPr="00977958">
        <w:rPr>
          <w:rFonts w:ascii="Garamond" w:hAnsi="Garamond"/>
          <w:sz w:val="24"/>
          <w:szCs w:val="24"/>
        </w:rPr>
        <w:t>Compared to international equity flows, t</w:t>
      </w:r>
      <w:r w:rsidR="00023B99" w:rsidRPr="00977958">
        <w:rPr>
          <w:rFonts w:ascii="Garamond" w:hAnsi="Garamond"/>
          <w:sz w:val="24"/>
          <w:szCs w:val="24"/>
        </w:rPr>
        <w:t xml:space="preserve">he patterns and effects of cross-border </w:t>
      </w:r>
      <w:r w:rsidR="00023B99" w:rsidRPr="00977958">
        <w:rPr>
          <w:rFonts w:ascii="Garamond" w:hAnsi="Garamond"/>
          <w:i/>
          <w:sz w:val="24"/>
          <w:szCs w:val="24"/>
        </w:rPr>
        <w:t>direct</w:t>
      </w:r>
      <w:r w:rsidR="00023B99" w:rsidRPr="00977958">
        <w:rPr>
          <w:rFonts w:ascii="Garamond" w:hAnsi="Garamond"/>
          <w:sz w:val="24"/>
          <w:szCs w:val="24"/>
        </w:rPr>
        <w:t xml:space="preserve"> real estate investment have been the subject of limited research</w:t>
      </w:r>
      <w:r w:rsidR="008926CA" w:rsidRPr="00977958">
        <w:rPr>
          <w:rFonts w:ascii="Garamond" w:hAnsi="Garamond"/>
          <w:sz w:val="24"/>
          <w:szCs w:val="24"/>
        </w:rPr>
        <w:t xml:space="preserve">. </w:t>
      </w:r>
      <w:r w:rsidR="00023B99" w:rsidRPr="00977958">
        <w:rPr>
          <w:rFonts w:ascii="Garamond" w:hAnsi="Garamond"/>
          <w:sz w:val="24"/>
          <w:szCs w:val="24"/>
        </w:rPr>
        <w:t>Given relative data availability, the majority of published work has focussed on international real estate securities and their return determinants, diversification potential and currency risk (for examples see Eichholtz</w:t>
      </w:r>
      <w:r w:rsidR="00C24F33" w:rsidRPr="00977958">
        <w:rPr>
          <w:rFonts w:ascii="Garamond" w:hAnsi="Garamond"/>
          <w:sz w:val="24"/>
          <w:szCs w:val="24"/>
        </w:rPr>
        <w:t xml:space="preserve"> </w:t>
      </w:r>
      <w:r w:rsidR="00C24F33" w:rsidRPr="00977958">
        <w:rPr>
          <w:rFonts w:ascii="Garamond" w:hAnsi="Garamond"/>
          <w:i/>
          <w:sz w:val="24"/>
          <w:szCs w:val="24"/>
        </w:rPr>
        <w:t>et al.</w:t>
      </w:r>
      <w:r w:rsidR="00023B99" w:rsidRPr="00977958">
        <w:rPr>
          <w:rFonts w:ascii="Garamond" w:hAnsi="Garamond"/>
          <w:sz w:val="24"/>
          <w:szCs w:val="24"/>
        </w:rPr>
        <w:t>, 2011; Ling and Naranjo, 2002; Worzala and Sirmans, 2003b; Bond</w:t>
      </w:r>
      <w:r w:rsidR="00C24F33" w:rsidRPr="00977958">
        <w:rPr>
          <w:rFonts w:ascii="Garamond" w:hAnsi="Garamond"/>
          <w:sz w:val="24"/>
          <w:szCs w:val="24"/>
        </w:rPr>
        <w:t xml:space="preserve"> </w:t>
      </w:r>
      <w:r w:rsidR="00C24F33" w:rsidRPr="00977958">
        <w:rPr>
          <w:rFonts w:ascii="Garamond" w:hAnsi="Garamond"/>
          <w:i/>
          <w:sz w:val="24"/>
          <w:szCs w:val="24"/>
        </w:rPr>
        <w:t>et al.</w:t>
      </w:r>
      <w:r w:rsidR="00023B99" w:rsidRPr="00977958">
        <w:rPr>
          <w:rFonts w:ascii="Garamond" w:hAnsi="Garamond"/>
          <w:sz w:val="24"/>
          <w:szCs w:val="24"/>
        </w:rPr>
        <w:t>, 2003)</w:t>
      </w:r>
      <w:r w:rsidR="008926CA" w:rsidRPr="00977958">
        <w:rPr>
          <w:rFonts w:ascii="Garamond" w:hAnsi="Garamond"/>
          <w:sz w:val="24"/>
          <w:szCs w:val="24"/>
        </w:rPr>
        <w:t xml:space="preserve">. </w:t>
      </w:r>
      <w:r w:rsidR="00A046D1" w:rsidRPr="00977958">
        <w:rPr>
          <w:rFonts w:ascii="Garamond" w:hAnsi="Garamond"/>
          <w:sz w:val="24"/>
          <w:szCs w:val="24"/>
        </w:rPr>
        <w:t>Following sporadic surges of cross-border investment from particular countries since 1970s (</w:t>
      </w:r>
      <w:r w:rsidR="00A046D1" w:rsidRPr="00977958">
        <w:rPr>
          <w:rFonts w:ascii="Garamond" w:hAnsi="Garamond"/>
        </w:rPr>
        <w:t>Japanese in 80s</w:t>
      </w:r>
      <w:r w:rsidR="00A046D1" w:rsidRPr="00977958">
        <w:rPr>
          <w:rFonts w:ascii="Garamond" w:hAnsi="Garamond"/>
          <w:sz w:val="24"/>
          <w:szCs w:val="24"/>
        </w:rPr>
        <w:t xml:space="preserve">), </w:t>
      </w:r>
      <w:r w:rsidR="00023B99" w:rsidRPr="00977958">
        <w:rPr>
          <w:rFonts w:ascii="Garamond" w:hAnsi="Garamond"/>
          <w:sz w:val="24"/>
          <w:szCs w:val="24"/>
        </w:rPr>
        <w:t>there emerged a body of survey research on the costs and benefits of international real estate investment (see Falkenbac</w:t>
      </w:r>
      <w:r w:rsidR="00A046D1" w:rsidRPr="00977958">
        <w:rPr>
          <w:rFonts w:ascii="Garamond" w:hAnsi="Garamond"/>
          <w:sz w:val="24"/>
          <w:szCs w:val="24"/>
        </w:rPr>
        <w:t>k</w:t>
      </w:r>
      <w:r w:rsidR="00023B99" w:rsidRPr="00977958">
        <w:rPr>
          <w:rFonts w:ascii="Garamond" w:hAnsi="Garamond"/>
          <w:sz w:val="24"/>
          <w:szCs w:val="24"/>
        </w:rPr>
        <w:t>, 2009; Lizieri, 2009 and Worzala and Sirmans, 2003a for reviews)</w:t>
      </w:r>
      <w:r w:rsidR="008926CA" w:rsidRPr="00977958">
        <w:rPr>
          <w:rFonts w:ascii="Garamond" w:hAnsi="Garamond"/>
          <w:sz w:val="24"/>
          <w:szCs w:val="24"/>
        </w:rPr>
        <w:t xml:space="preserve">. </w:t>
      </w:r>
      <w:r w:rsidR="00023B99" w:rsidRPr="00977958">
        <w:rPr>
          <w:rFonts w:ascii="Garamond" w:hAnsi="Garamond"/>
          <w:sz w:val="24"/>
          <w:szCs w:val="24"/>
        </w:rPr>
        <w:t>However, recent evidence indicates that cross-border capital flows between real estate markets have become increasingly important – albeit the Global Financial Crisis caused a fall in both intra- and inter-national real estate investment activity (see Lizieri</w:t>
      </w:r>
      <w:r w:rsidR="00C24F33" w:rsidRPr="00977958">
        <w:rPr>
          <w:rFonts w:ascii="Garamond" w:hAnsi="Garamond"/>
          <w:sz w:val="24"/>
          <w:szCs w:val="24"/>
        </w:rPr>
        <w:t xml:space="preserve"> </w:t>
      </w:r>
      <w:r w:rsidR="00C24F33" w:rsidRPr="00977958">
        <w:rPr>
          <w:rFonts w:ascii="Garamond" w:hAnsi="Garamond"/>
          <w:i/>
          <w:sz w:val="24"/>
          <w:szCs w:val="24"/>
        </w:rPr>
        <w:t>et al.</w:t>
      </w:r>
      <w:r w:rsidR="00023B99" w:rsidRPr="00977958">
        <w:rPr>
          <w:rFonts w:ascii="Garamond" w:hAnsi="Garamond"/>
          <w:sz w:val="24"/>
          <w:szCs w:val="24"/>
        </w:rPr>
        <w:t>, 2011; Newell</w:t>
      </w:r>
      <w:r w:rsidR="00C24F33" w:rsidRPr="00977958">
        <w:rPr>
          <w:rFonts w:ascii="Garamond" w:hAnsi="Garamond"/>
          <w:sz w:val="24"/>
          <w:szCs w:val="24"/>
        </w:rPr>
        <w:t xml:space="preserve"> </w:t>
      </w:r>
      <w:r w:rsidR="00C24F33" w:rsidRPr="00977958">
        <w:rPr>
          <w:rFonts w:ascii="Garamond" w:hAnsi="Garamond"/>
          <w:i/>
          <w:sz w:val="24"/>
          <w:szCs w:val="24"/>
        </w:rPr>
        <w:t>et al.</w:t>
      </w:r>
      <w:r w:rsidR="00023B99" w:rsidRPr="00977958">
        <w:rPr>
          <w:rFonts w:ascii="Garamond" w:hAnsi="Garamond"/>
          <w:sz w:val="24"/>
          <w:szCs w:val="24"/>
        </w:rPr>
        <w:t>, 2010</w:t>
      </w:r>
      <w:r w:rsidR="005E641B" w:rsidRPr="00977958">
        <w:rPr>
          <w:rFonts w:ascii="Garamond" w:hAnsi="Garamond"/>
          <w:sz w:val="24"/>
          <w:szCs w:val="24"/>
        </w:rPr>
        <w:t xml:space="preserve">; </w:t>
      </w:r>
      <w:r w:rsidR="00023B99" w:rsidRPr="00977958">
        <w:rPr>
          <w:rFonts w:ascii="Garamond" w:hAnsi="Garamond"/>
          <w:sz w:val="24"/>
          <w:szCs w:val="24"/>
        </w:rPr>
        <w:t>Lizieri and Pain, 2013</w:t>
      </w:r>
      <w:r w:rsidR="005E641B" w:rsidRPr="00977958">
        <w:rPr>
          <w:rFonts w:ascii="Garamond" w:hAnsi="Garamond"/>
          <w:sz w:val="24"/>
          <w:szCs w:val="24"/>
        </w:rPr>
        <w:t xml:space="preserve"> and Lieser and Groh, 2013</w:t>
      </w:r>
      <w:r w:rsidR="00023B99" w:rsidRPr="00977958">
        <w:rPr>
          <w:rFonts w:ascii="Garamond" w:hAnsi="Garamond"/>
          <w:sz w:val="24"/>
          <w:szCs w:val="24"/>
        </w:rPr>
        <w:t>)</w:t>
      </w:r>
      <w:r w:rsidR="008926CA" w:rsidRPr="00977958">
        <w:rPr>
          <w:rFonts w:ascii="Garamond" w:hAnsi="Garamond"/>
          <w:sz w:val="24"/>
          <w:szCs w:val="24"/>
        </w:rPr>
        <w:t xml:space="preserve">. </w:t>
      </w:r>
      <w:r w:rsidR="00464381" w:rsidRPr="00977958">
        <w:rPr>
          <w:rFonts w:ascii="Garamond" w:hAnsi="Garamond"/>
          <w:sz w:val="24"/>
          <w:szCs w:val="24"/>
          <w:lang w:val="en-US"/>
        </w:rPr>
        <w:t>The networks of third party support services (accountancy, legal and real estate services providers) that support cross-border real estate investment have also globalized in this period</w:t>
      </w:r>
      <w:r w:rsidR="008926CA" w:rsidRPr="00977958">
        <w:rPr>
          <w:rFonts w:ascii="Garamond" w:hAnsi="Garamond"/>
          <w:sz w:val="24"/>
          <w:szCs w:val="24"/>
          <w:lang w:val="en-US"/>
        </w:rPr>
        <w:t xml:space="preserve">. </w:t>
      </w:r>
      <w:r w:rsidR="00464381" w:rsidRPr="00977958">
        <w:rPr>
          <w:rFonts w:ascii="Garamond" w:hAnsi="Garamond"/>
          <w:sz w:val="24"/>
          <w:szCs w:val="24"/>
          <w:lang w:val="en-US"/>
        </w:rPr>
        <w:t>Ball (2002) emphasized the importance of real estate investors and developers being able to rely on networks of professional firms that operate at a spatial scale equivalent to their own (see also D’Arcy, 2009)</w:t>
      </w:r>
      <w:r w:rsidR="008926CA" w:rsidRPr="00977958">
        <w:rPr>
          <w:rFonts w:ascii="Garamond" w:hAnsi="Garamond"/>
          <w:sz w:val="24"/>
          <w:szCs w:val="24"/>
          <w:lang w:val="en-US"/>
        </w:rPr>
        <w:t xml:space="preserve">. </w:t>
      </w:r>
    </w:p>
    <w:p w:rsidR="00464381" w:rsidRPr="00977958" w:rsidRDefault="00464381" w:rsidP="00C97437">
      <w:pPr>
        <w:pStyle w:val="NoSpacing"/>
        <w:spacing w:line="360" w:lineRule="auto"/>
        <w:jc w:val="both"/>
        <w:rPr>
          <w:rFonts w:ascii="Garamond" w:hAnsi="Garamond"/>
          <w:sz w:val="24"/>
          <w:szCs w:val="24"/>
          <w:lang w:val="en-US"/>
        </w:rPr>
      </w:pPr>
    </w:p>
    <w:p w:rsidR="00D8729D" w:rsidRPr="00977958" w:rsidRDefault="00D8729D" w:rsidP="00C97437">
      <w:pPr>
        <w:pStyle w:val="NoSpacing"/>
        <w:spacing w:line="360" w:lineRule="auto"/>
        <w:jc w:val="both"/>
        <w:rPr>
          <w:rFonts w:ascii="Garamond" w:hAnsi="Garamond"/>
          <w:sz w:val="24"/>
          <w:szCs w:val="24"/>
          <w:lang w:val="en-US"/>
        </w:rPr>
      </w:pPr>
      <w:r w:rsidRPr="00977958">
        <w:rPr>
          <w:rFonts w:ascii="Garamond" w:hAnsi="Garamond"/>
          <w:sz w:val="24"/>
          <w:szCs w:val="24"/>
          <w:lang w:val="en-US"/>
        </w:rPr>
        <w:lastRenderedPageBreak/>
        <w:t>T</w:t>
      </w:r>
      <w:r w:rsidR="00464381" w:rsidRPr="00977958">
        <w:rPr>
          <w:rFonts w:ascii="Garamond" w:hAnsi="Garamond"/>
          <w:sz w:val="24"/>
          <w:szCs w:val="24"/>
          <w:lang w:val="en-US"/>
        </w:rPr>
        <w:t>he focus of this paper is on the effects of increasing integration of real estate markets</w:t>
      </w:r>
      <w:r w:rsidR="00CC4717" w:rsidRPr="00977958">
        <w:rPr>
          <w:rFonts w:ascii="Garamond" w:hAnsi="Garamond"/>
          <w:sz w:val="24"/>
          <w:szCs w:val="24"/>
          <w:lang w:val="en-US"/>
        </w:rPr>
        <w:t xml:space="preserve"> on real estate capitalization rates</w:t>
      </w:r>
      <w:r w:rsidR="008926CA" w:rsidRPr="00977958">
        <w:rPr>
          <w:rFonts w:ascii="Garamond" w:hAnsi="Garamond"/>
          <w:sz w:val="24"/>
          <w:szCs w:val="24"/>
          <w:lang w:val="en-US"/>
        </w:rPr>
        <w:t xml:space="preserve">. </w:t>
      </w:r>
      <w:r w:rsidR="007B407F" w:rsidRPr="00977958">
        <w:rPr>
          <w:rFonts w:ascii="Garamond" w:hAnsi="Garamond"/>
          <w:sz w:val="24"/>
          <w:szCs w:val="24"/>
          <w:lang w:val="en-US"/>
        </w:rPr>
        <w:t>Focu</w:t>
      </w:r>
      <w:r w:rsidR="00464381" w:rsidRPr="00977958">
        <w:rPr>
          <w:rFonts w:ascii="Garamond" w:hAnsi="Garamond"/>
          <w:sz w:val="24"/>
          <w:szCs w:val="24"/>
          <w:lang w:val="en-US"/>
        </w:rPr>
        <w:t xml:space="preserve">sing at the city level, drawing upon </w:t>
      </w:r>
      <w:r w:rsidR="000F20C1" w:rsidRPr="00977958">
        <w:rPr>
          <w:rFonts w:ascii="Garamond" w:hAnsi="Garamond"/>
          <w:sz w:val="24"/>
          <w:szCs w:val="24"/>
          <w:lang w:val="en-US"/>
        </w:rPr>
        <w:t>RCA</w:t>
      </w:r>
      <w:r w:rsidR="00464381" w:rsidRPr="00977958">
        <w:rPr>
          <w:rFonts w:ascii="Garamond" w:hAnsi="Garamond"/>
          <w:sz w:val="24"/>
          <w:szCs w:val="24"/>
          <w:lang w:val="en-US"/>
        </w:rPr>
        <w:t xml:space="preserve">’s transaction database this research investigates the extent of variation in the level of foreign investment in the commercial offices markets of </w:t>
      </w:r>
      <w:r w:rsidR="001C4E4C" w:rsidRPr="00977958">
        <w:rPr>
          <w:rFonts w:ascii="Garamond" w:hAnsi="Garamond"/>
          <w:sz w:val="24"/>
          <w:szCs w:val="24"/>
          <w:lang w:val="en-US"/>
        </w:rPr>
        <w:t>3</w:t>
      </w:r>
      <w:r w:rsidR="007227F0" w:rsidRPr="00977958">
        <w:rPr>
          <w:rFonts w:ascii="Garamond" w:hAnsi="Garamond"/>
          <w:sz w:val="24"/>
          <w:szCs w:val="24"/>
          <w:lang w:val="en-US"/>
        </w:rPr>
        <w:t>8</w:t>
      </w:r>
      <w:r w:rsidR="000F20C1" w:rsidRPr="00977958">
        <w:rPr>
          <w:rFonts w:ascii="Garamond" w:hAnsi="Garamond"/>
          <w:sz w:val="24"/>
          <w:szCs w:val="24"/>
          <w:lang w:val="en-US"/>
        </w:rPr>
        <w:t xml:space="preserve"> US MSAs</w:t>
      </w:r>
      <w:r w:rsidR="008926CA" w:rsidRPr="00977958">
        <w:rPr>
          <w:rFonts w:ascii="Garamond" w:hAnsi="Garamond"/>
          <w:sz w:val="24"/>
          <w:szCs w:val="24"/>
          <w:lang w:val="en-US"/>
        </w:rPr>
        <w:t xml:space="preserve">. </w:t>
      </w:r>
      <w:r w:rsidR="00464381" w:rsidRPr="00977958">
        <w:rPr>
          <w:rFonts w:ascii="Garamond" w:hAnsi="Garamond"/>
          <w:sz w:val="24"/>
          <w:szCs w:val="24"/>
          <w:lang w:val="en-US"/>
        </w:rPr>
        <w:t xml:space="preserve">Given that differences in levels of capitalization rates due to differences in liquidity, </w:t>
      </w:r>
      <w:r w:rsidR="002A4579" w:rsidRPr="00977958">
        <w:rPr>
          <w:rFonts w:ascii="Garamond" w:hAnsi="Garamond"/>
          <w:sz w:val="24"/>
          <w:szCs w:val="24"/>
          <w:lang w:val="en-US"/>
        </w:rPr>
        <w:t xml:space="preserve">income </w:t>
      </w:r>
      <w:r w:rsidR="00464381" w:rsidRPr="00977958">
        <w:rPr>
          <w:rFonts w:ascii="Garamond" w:hAnsi="Garamond"/>
          <w:sz w:val="24"/>
          <w:szCs w:val="24"/>
          <w:lang w:val="en-US"/>
        </w:rPr>
        <w:t>growth expectation</w:t>
      </w:r>
      <w:r w:rsidR="002A4579" w:rsidRPr="00977958">
        <w:rPr>
          <w:rFonts w:ascii="Garamond" w:hAnsi="Garamond"/>
          <w:sz w:val="24"/>
          <w:szCs w:val="24"/>
          <w:lang w:val="en-US"/>
        </w:rPr>
        <w:t>s</w:t>
      </w:r>
      <w:r w:rsidR="00464381" w:rsidRPr="00977958">
        <w:rPr>
          <w:rFonts w:ascii="Garamond" w:hAnsi="Garamond"/>
          <w:sz w:val="24"/>
          <w:szCs w:val="24"/>
          <w:lang w:val="en-US"/>
        </w:rPr>
        <w:t xml:space="preserve">, </w:t>
      </w:r>
      <w:r w:rsidR="00710BFA" w:rsidRPr="00977958">
        <w:rPr>
          <w:rFonts w:ascii="Garamond" w:hAnsi="Garamond"/>
          <w:sz w:val="24"/>
          <w:szCs w:val="24"/>
          <w:lang w:val="en-US"/>
        </w:rPr>
        <w:t xml:space="preserve">market </w:t>
      </w:r>
      <w:r w:rsidR="00464381" w:rsidRPr="00977958">
        <w:rPr>
          <w:rFonts w:ascii="Garamond" w:hAnsi="Garamond"/>
          <w:sz w:val="24"/>
          <w:szCs w:val="24"/>
          <w:lang w:val="en-US"/>
        </w:rPr>
        <w:t>transparency</w:t>
      </w:r>
      <w:r w:rsidR="002A4579" w:rsidRPr="00977958">
        <w:rPr>
          <w:rFonts w:ascii="Garamond" w:hAnsi="Garamond"/>
          <w:sz w:val="24"/>
          <w:szCs w:val="24"/>
          <w:lang w:val="en-US"/>
        </w:rPr>
        <w:t xml:space="preserve">, </w:t>
      </w:r>
      <w:r w:rsidR="000F20C1" w:rsidRPr="00977958">
        <w:rPr>
          <w:rFonts w:ascii="Garamond" w:hAnsi="Garamond"/>
          <w:sz w:val="24"/>
          <w:szCs w:val="24"/>
          <w:lang w:val="en-US"/>
        </w:rPr>
        <w:t xml:space="preserve">local </w:t>
      </w:r>
      <w:r w:rsidR="00710BFA" w:rsidRPr="00977958">
        <w:rPr>
          <w:rFonts w:ascii="Garamond" w:hAnsi="Garamond"/>
          <w:sz w:val="24"/>
          <w:szCs w:val="24"/>
          <w:lang w:val="en-US"/>
        </w:rPr>
        <w:t xml:space="preserve">economic </w:t>
      </w:r>
      <w:r w:rsidR="000F20C1" w:rsidRPr="00977958">
        <w:rPr>
          <w:rFonts w:ascii="Garamond" w:hAnsi="Garamond"/>
          <w:sz w:val="24"/>
          <w:szCs w:val="24"/>
          <w:lang w:val="en-US"/>
        </w:rPr>
        <w:t>conditions</w:t>
      </w:r>
      <w:r w:rsidR="002A4579" w:rsidRPr="00977958">
        <w:rPr>
          <w:rFonts w:ascii="Garamond" w:hAnsi="Garamond"/>
          <w:sz w:val="24"/>
          <w:szCs w:val="24"/>
          <w:lang w:val="en-US"/>
        </w:rPr>
        <w:t xml:space="preserve"> etc. are expected, we attempt to isolate the effect of foreign capital flows on </w:t>
      </w:r>
      <w:r w:rsidR="00F248A2" w:rsidRPr="00977958">
        <w:rPr>
          <w:rFonts w:ascii="Garamond" w:hAnsi="Garamond"/>
          <w:sz w:val="24"/>
          <w:szCs w:val="24"/>
          <w:lang w:val="en-US"/>
        </w:rPr>
        <w:t xml:space="preserve">office </w:t>
      </w:r>
      <w:r w:rsidR="002A4579" w:rsidRPr="00977958">
        <w:rPr>
          <w:rFonts w:ascii="Garamond" w:hAnsi="Garamond"/>
          <w:sz w:val="24"/>
          <w:szCs w:val="24"/>
          <w:lang w:val="en-US"/>
        </w:rPr>
        <w:t>capitalization rates</w:t>
      </w:r>
      <w:r w:rsidR="008926CA" w:rsidRPr="00977958">
        <w:rPr>
          <w:rFonts w:ascii="Garamond" w:hAnsi="Garamond"/>
          <w:sz w:val="24"/>
          <w:szCs w:val="24"/>
          <w:lang w:val="en-US"/>
        </w:rPr>
        <w:t xml:space="preserve">. </w:t>
      </w:r>
      <w:r w:rsidR="00D10CCF" w:rsidRPr="00977958">
        <w:rPr>
          <w:rFonts w:ascii="Garamond" w:hAnsi="Garamond"/>
          <w:sz w:val="24"/>
          <w:szCs w:val="24"/>
          <w:lang w:val="en-US"/>
        </w:rPr>
        <w:t>Information is most readily available for office markets. It is highly likely that there will be a positive association between trading, information and prices. Essentially information availability stimulates initial investment and this initial investment generates more information, resulting in path dependency effects and informational cascades. New York is a classic example of such effects. The quantity of transactions produces self-perpetuating advantages in terms of information, transparency, professional support services and liquidity that, in turn, attracts more investors and generates more information, transparency, etc.</w:t>
      </w:r>
    </w:p>
    <w:p w:rsidR="000F20C1" w:rsidRPr="00977958" w:rsidRDefault="000F20C1" w:rsidP="00C97437">
      <w:pPr>
        <w:pStyle w:val="NoSpacing"/>
        <w:spacing w:line="360" w:lineRule="auto"/>
        <w:jc w:val="both"/>
        <w:rPr>
          <w:rFonts w:ascii="Garamond" w:hAnsi="Garamond"/>
          <w:sz w:val="24"/>
          <w:szCs w:val="24"/>
          <w:lang w:val="en-US"/>
        </w:rPr>
      </w:pPr>
    </w:p>
    <w:p w:rsidR="00E62CCC" w:rsidRPr="00977958" w:rsidRDefault="00E62CCC" w:rsidP="00C97437">
      <w:pPr>
        <w:pStyle w:val="NoSpacing"/>
        <w:spacing w:line="360" w:lineRule="auto"/>
        <w:jc w:val="both"/>
        <w:rPr>
          <w:rFonts w:ascii="Garamond" w:hAnsi="Garamond"/>
          <w:sz w:val="24"/>
          <w:szCs w:val="24"/>
          <w:lang w:val="en-US"/>
        </w:rPr>
      </w:pPr>
    </w:p>
    <w:p w:rsidR="00896548" w:rsidRPr="00977958" w:rsidRDefault="00640EA6" w:rsidP="000F20C1">
      <w:pPr>
        <w:pStyle w:val="NoSpacing"/>
        <w:spacing w:line="360" w:lineRule="auto"/>
        <w:jc w:val="both"/>
        <w:rPr>
          <w:rFonts w:ascii="Garamond" w:hAnsi="Garamond"/>
          <w:b/>
          <w:sz w:val="24"/>
          <w:szCs w:val="24"/>
        </w:rPr>
      </w:pPr>
      <w:r w:rsidRPr="00977958">
        <w:rPr>
          <w:rFonts w:ascii="Garamond" w:hAnsi="Garamond"/>
          <w:b/>
          <w:sz w:val="24"/>
          <w:szCs w:val="24"/>
        </w:rPr>
        <w:t>THEORETICAL CONTEXT AND PREVIOUS RESEARCH</w:t>
      </w:r>
    </w:p>
    <w:p w:rsidR="00CC4717" w:rsidRPr="00977958" w:rsidRDefault="00023B99" w:rsidP="00C97437">
      <w:pPr>
        <w:pStyle w:val="NoSpacing"/>
        <w:spacing w:line="360" w:lineRule="auto"/>
        <w:jc w:val="both"/>
        <w:rPr>
          <w:rFonts w:ascii="Garamond" w:hAnsi="Garamond"/>
          <w:sz w:val="24"/>
          <w:szCs w:val="24"/>
        </w:rPr>
      </w:pPr>
      <w:r w:rsidRPr="00977958">
        <w:rPr>
          <w:rFonts w:ascii="Garamond" w:hAnsi="Garamond"/>
          <w:sz w:val="24"/>
          <w:szCs w:val="24"/>
        </w:rPr>
        <w:t xml:space="preserve">There </w:t>
      </w:r>
      <w:r w:rsidR="007B407F" w:rsidRPr="00977958">
        <w:rPr>
          <w:rFonts w:ascii="Garamond" w:hAnsi="Garamond"/>
          <w:sz w:val="24"/>
          <w:szCs w:val="24"/>
        </w:rPr>
        <w:t>are</w:t>
      </w:r>
      <w:r w:rsidRPr="00977958">
        <w:rPr>
          <w:rFonts w:ascii="Garamond" w:hAnsi="Garamond"/>
          <w:sz w:val="24"/>
          <w:szCs w:val="24"/>
        </w:rPr>
        <w:t xml:space="preserve"> </w:t>
      </w:r>
      <w:r w:rsidR="009061EC" w:rsidRPr="00977958">
        <w:rPr>
          <w:rFonts w:ascii="Garamond" w:hAnsi="Garamond"/>
          <w:sz w:val="24"/>
          <w:szCs w:val="24"/>
        </w:rPr>
        <w:t xml:space="preserve">a number </w:t>
      </w:r>
      <w:r w:rsidR="00CC4717" w:rsidRPr="00977958">
        <w:rPr>
          <w:rFonts w:ascii="Garamond" w:hAnsi="Garamond"/>
          <w:sz w:val="24"/>
          <w:szCs w:val="24"/>
        </w:rPr>
        <w:t xml:space="preserve">of </w:t>
      </w:r>
      <w:r w:rsidRPr="00977958">
        <w:rPr>
          <w:rFonts w:ascii="Garamond" w:hAnsi="Garamond"/>
          <w:sz w:val="24"/>
          <w:szCs w:val="24"/>
        </w:rPr>
        <w:t>theoretical and empirical grounds to expect foreign investment to have significant price effects</w:t>
      </w:r>
      <w:r w:rsidR="008926CA" w:rsidRPr="00977958">
        <w:rPr>
          <w:rFonts w:ascii="Garamond" w:hAnsi="Garamond"/>
          <w:sz w:val="24"/>
          <w:szCs w:val="24"/>
        </w:rPr>
        <w:t xml:space="preserve">. </w:t>
      </w:r>
      <w:r w:rsidRPr="00977958">
        <w:rPr>
          <w:rFonts w:ascii="Garamond" w:hAnsi="Garamond"/>
          <w:sz w:val="24"/>
          <w:szCs w:val="24"/>
        </w:rPr>
        <w:t xml:space="preserve">From an International Capital Asset Pricing Model perspective, the key </w:t>
      </w:r>
      <w:r w:rsidR="00896548" w:rsidRPr="00977958">
        <w:rPr>
          <w:rFonts w:ascii="Garamond" w:hAnsi="Garamond"/>
          <w:sz w:val="24"/>
          <w:szCs w:val="24"/>
        </w:rPr>
        <w:t>determinant</w:t>
      </w:r>
      <w:r w:rsidRPr="00977958">
        <w:rPr>
          <w:rFonts w:ascii="Garamond" w:hAnsi="Garamond"/>
          <w:sz w:val="24"/>
          <w:szCs w:val="24"/>
        </w:rPr>
        <w:t xml:space="preserve"> is </w:t>
      </w:r>
      <w:r w:rsidR="00896548" w:rsidRPr="00977958">
        <w:rPr>
          <w:rFonts w:ascii="Garamond" w:hAnsi="Garamond"/>
          <w:sz w:val="24"/>
          <w:szCs w:val="24"/>
        </w:rPr>
        <w:t xml:space="preserve">the expectation that </w:t>
      </w:r>
      <w:r w:rsidRPr="00977958">
        <w:rPr>
          <w:rFonts w:ascii="Garamond" w:hAnsi="Garamond"/>
          <w:sz w:val="24"/>
          <w:szCs w:val="24"/>
        </w:rPr>
        <w:t xml:space="preserve">globally diversified investors </w:t>
      </w:r>
      <w:r w:rsidR="00896548" w:rsidRPr="00977958">
        <w:rPr>
          <w:rFonts w:ascii="Garamond" w:hAnsi="Garamond"/>
          <w:sz w:val="24"/>
          <w:szCs w:val="24"/>
        </w:rPr>
        <w:t xml:space="preserve">have </w:t>
      </w:r>
      <w:r w:rsidRPr="00977958">
        <w:rPr>
          <w:rFonts w:ascii="Garamond" w:hAnsi="Garamond"/>
          <w:sz w:val="24"/>
          <w:szCs w:val="24"/>
        </w:rPr>
        <w:t>a lower risk premium</w:t>
      </w:r>
      <w:r w:rsidR="008926CA" w:rsidRPr="00977958">
        <w:rPr>
          <w:rFonts w:ascii="Garamond" w:hAnsi="Garamond"/>
          <w:sz w:val="24"/>
          <w:szCs w:val="24"/>
        </w:rPr>
        <w:t xml:space="preserve">. </w:t>
      </w:r>
      <w:r w:rsidR="00D10CCF" w:rsidRPr="00977958">
        <w:rPr>
          <w:rFonts w:ascii="Garamond" w:hAnsi="Garamond"/>
          <w:sz w:val="24"/>
          <w:szCs w:val="24"/>
        </w:rPr>
        <w:t xml:space="preserve">It is worth noting that global diversification requires prohibitive amounts of capital for vast majority of institutional investors, who are therefore exposed to specific risks such as liquidity, transparency, exchange rate in volatility. </w:t>
      </w:r>
      <w:r w:rsidR="00065298" w:rsidRPr="00977958">
        <w:rPr>
          <w:rFonts w:ascii="Garamond" w:hAnsi="Garamond"/>
          <w:sz w:val="24"/>
          <w:szCs w:val="24"/>
        </w:rPr>
        <w:t>In this vein, Kang</w:t>
      </w:r>
      <w:r w:rsidR="00C24F33" w:rsidRPr="00977958">
        <w:rPr>
          <w:rFonts w:ascii="Garamond" w:hAnsi="Garamond"/>
          <w:i/>
          <w:sz w:val="24"/>
          <w:szCs w:val="24"/>
        </w:rPr>
        <w:t xml:space="preserve"> et al.</w:t>
      </w:r>
      <w:r w:rsidR="00C24F33" w:rsidRPr="00977958">
        <w:rPr>
          <w:rFonts w:ascii="Garamond" w:hAnsi="Garamond"/>
          <w:sz w:val="24"/>
          <w:szCs w:val="24"/>
        </w:rPr>
        <w:t xml:space="preserve"> </w:t>
      </w:r>
      <w:r w:rsidR="00065298" w:rsidRPr="00977958">
        <w:rPr>
          <w:rFonts w:ascii="Garamond" w:hAnsi="Garamond"/>
          <w:sz w:val="24"/>
          <w:szCs w:val="24"/>
        </w:rPr>
        <w:t xml:space="preserve">(2010) argue that foreigners who invest in multiple countries and whose performances are likely to be assessed in a global context will evaluate domestic stocks via a global benchmark whilst domestic investors </w:t>
      </w:r>
      <w:r w:rsidR="0080260F" w:rsidRPr="00977958">
        <w:rPr>
          <w:rFonts w:ascii="Garamond" w:hAnsi="Garamond"/>
          <w:sz w:val="24"/>
          <w:szCs w:val="24"/>
        </w:rPr>
        <w:t xml:space="preserve">will </w:t>
      </w:r>
      <w:r w:rsidR="00065298" w:rsidRPr="00977958">
        <w:rPr>
          <w:rFonts w:ascii="Garamond" w:hAnsi="Garamond"/>
          <w:sz w:val="24"/>
          <w:szCs w:val="24"/>
        </w:rPr>
        <w:t>use a local benchmark to evaluate domestic stocks.</w:t>
      </w:r>
      <w:r w:rsidR="008A731B" w:rsidRPr="00977958">
        <w:rPr>
          <w:rFonts w:ascii="Garamond" w:hAnsi="Garamond"/>
          <w:sz w:val="24"/>
          <w:szCs w:val="24"/>
        </w:rPr>
        <w:t xml:space="preserve"> </w:t>
      </w:r>
      <w:r w:rsidR="008D7FA9" w:rsidRPr="00977958">
        <w:rPr>
          <w:rFonts w:ascii="Garamond" w:hAnsi="Garamond"/>
          <w:sz w:val="24"/>
          <w:szCs w:val="24"/>
        </w:rPr>
        <w:t>One consequence of the diversification benefits f</w:t>
      </w:r>
      <w:r w:rsidR="009061EC" w:rsidRPr="00977958">
        <w:rPr>
          <w:rFonts w:ascii="Garamond" w:hAnsi="Garamond"/>
          <w:sz w:val="24"/>
          <w:szCs w:val="24"/>
        </w:rPr>
        <w:t>rom</w:t>
      </w:r>
      <w:r w:rsidR="008D7FA9" w:rsidRPr="00977958">
        <w:rPr>
          <w:rFonts w:ascii="Garamond" w:hAnsi="Garamond"/>
          <w:sz w:val="24"/>
          <w:szCs w:val="24"/>
        </w:rPr>
        <w:t xml:space="preserve"> cross-border investment is a change in the set of investors</w:t>
      </w:r>
      <w:r w:rsidR="008926CA" w:rsidRPr="00977958">
        <w:rPr>
          <w:rFonts w:ascii="Garamond" w:hAnsi="Garamond"/>
          <w:sz w:val="24"/>
          <w:szCs w:val="24"/>
        </w:rPr>
        <w:t xml:space="preserve">. </w:t>
      </w:r>
      <w:r w:rsidR="009061EC" w:rsidRPr="00977958">
        <w:rPr>
          <w:rFonts w:ascii="Garamond" w:hAnsi="Garamond"/>
          <w:sz w:val="24"/>
          <w:szCs w:val="24"/>
        </w:rPr>
        <w:t>I</w:t>
      </w:r>
      <w:r w:rsidRPr="00977958">
        <w:rPr>
          <w:rFonts w:ascii="Garamond" w:hAnsi="Garamond"/>
          <w:sz w:val="24"/>
          <w:szCs w:val="24"/>
        </w:rPr>
        <w:t>n integrated markets, firms’ share prices may benefit from increased capital flows from investors in previously segmented markets as integration allows the firms’ risks to be shared by a larger pool of investors with different risk exposures and risk appetites</w:t>
      </w:r>
      <w:r w:rsidR="008926CA" w:rsidRPr="00977958">
        <w:rPr>
          <w:rFonts w:ascii="Garamond" w:hAnsi="Garamond"/>
          <w:sz w:val="24"/>
          <w:szCs w:val="24"/>
        </w:rPr>
        <w:t xml:space="preserve">. </w:t>
      </w:r>
      <w:r w:rsidR="00896548" w:rsidRPr="00977958">
        <w:rPr>
          <w:rFonts w:ascii="Garamond" w:hAnsi="Garamond"/>
          <w:sz w:val="24"/>
          <w:szCs w:val="24"/>
        </w:rPr>
        <w:t xml:space="preserve">It is expected that </w:t>
      </w:r>
      <w:r w:rsidRPr="00977958">
        <w:rPr>
          <w:rFonts w:ascii="Garamond" w:hAnsi="Garamond"/>
          <w:sz w:val="24"/>
          <w:szCs w:val="24"/>
        </w:rPr>
        <w:t>a global shareholder base results in a lower cost of capital and hence a greater equity value (see Stulz, 1999)</w:t>
      </w:r>
      <w:r w:rsidR="008926CA" w:rsidRPr="00977958">
        <w:rPr>
          <w:rFonts w:ascii="Garamond" w:hAnsi="Garamond"/>
          <w:sz w:val="24"/>
          <w:szCs w:val="24"/>
        </w:rPr>
        <w:t xml:space="preserve">. </w:t>
      </w:r>
    </w:p>
    <w:p w:rsidR="008A6FB0" w:rsidRPr="00977958" w:rsidRDefault="008A6FB0" w:rsidP="00C97437">
      <w:pPr>
        <w:pStyle w:val="NoSpacing"/>
        <w:spacing w:line="360" w:lineRule="auto"/>
        <w:jc w:val="both"/>
        <w:rPr>
          <w:rFonts w:ascii="Garamond" w:hAnsi="Garamond"/>
          <w:sz w:val="24"/>
          <w:szCs w:val="24"/>
        </w:rPr>
      </w:pPr>
    </w:p>
    <w:p w:rsidR="00065298" w:rsidRPr="00977958" w:rsidRDefault="00023B99" w:rsidP="00C97437">
      <w:pPr>
        <w:pStyle w:val="NoSpacing"/>
        <w:spacing w:line="360" w:lineRule="auto"/>
        <w:jc w:val="both"/>
        <w:rPr>
          <w:rFonts w:ascii="Garamond" w:hAnsi="Garamond"/>
          <w:sz w:val="24"/>
          <w:szCs w:val="24"/>
        </w:rPr>
      </w:pPr>
      <w:r w:rsidRPr="00977958">
        <w:rPr>
          <w:rFonts w:ascii="Garamond" w:hAnsi="Garamond"/>
          <w:sz w:val="24"/>
          <w:szCs w:val="24"/>
        </w:rPr>
        <w:t xml:space="preserve">An increase in the size of the investor base produced by financial globalization is central to </w:t>
      </w:r>
      <w:r w:rsidR="008D7FA9" w:rsidRPr="00977958">
        <w:rPr>
          <w:rFonts w:ascii="Garamond" w:hAnsi="Garamond"/>
          <w:sz w:val="24"/>
          <w:szCs w:val="24"/>
        </w:rPr>
        <w:t>Merton’s</w:t>
      </w:r>
      <w:r w:rsidRPr="00977958">
        <w:rPr>
          <w:rFonts w:ascii="Garamond" w:hAnsi="Garamond"/>
          <w:sz w:val="24"/>
          <w:szCs w:val="24"/>
        </w:rPr>
        <w:t xml:space="preserve"> investor recognition hypothesis</w:t>
      </w:r>
      <w:r w:rsidR="009061EC" w:rsidRPr="00977958">
        <w:rPr>
          <w:rFonts w:ascii="Garamond" w:hAnsi="Garamond"/>
          <w:sz w:val="24"/>
          <w:szCs w:val="24"/>
        </w:rPr>
        <w:t xml:space="preserve"> (Merton, 1987)</w:t>
      </w:r>
      <w:r w:rsidR="008926CA" w:rsidRPr="00977958">
        <w:rPr>
          <w:rFonts w:ascii="Garamond" w:hAnsi="Garamond"/>
          <w:sz w:val="24"/>
          <w:szCs w:val="24"/>
        </w:rPr>
        <w:t xml:space="preserve">. </w:t>
      </w:r>
      <w:r w:rsidR="009061EC" w:rsidRPr="00977958">
        <w:rPr>
          <w:rFonts w:ascii="Garamond" w:hAnsi="Garamond"/>
          <w:sz w:val="24"/>
          <w:szCs w:val="24"/>
        </w:rPr>
        <w:t>D</w:t>
      </w:r>
      <w:r w:rsidR="00D474D8" w:rsidRPr="00977958">
        <w:rPr>
          <w:rFonts w:ascii="Garamond" w:hAnsi="Garamond"/>
          <w:sz w:val="24"/>
          <w:szCs w:val="24"/>
        </w:rPr>
        <w:t>ra</w:t>
      </w:r>
      <w:r w:rsidR="009061EC" w:rsidRPr="00977958">
        <w:rPr>
          <w:rFonts w:ascii="Garamond" w:hAnsi="Garamond"/>
          <w:sz w:val="24"/>
          <w:szCs w:val="24"/>
        </w:rPr>
        <w:t>wing</w:t>
      </w:r>
      <w:r w:rsidR="00D474D8" w:rsidRPr="00977958">
        <w:rPr>
          <w:rFonts w:ascii="Garamond" w:hAnsi="Garamond"/>
          <w:sz w:val="24"/>
          <w:szCs w:val="24"/>
        </w:rPr>
        <w:t>s upon both information and diversification rationales</w:t>
      </w:r>
      <w:r w:rsidR="009061EC" w:rsidRPr="00977958">
        <w:rPr>
          <w:rFonts w:ascii="Garamond" w:hAnsi="Garamond"/>
          <w:sz w:val="24"/>
          <w:szCs w:val="24"/>
        </w:rPr>
        <w:t>, a</w:t>
      </w:r>
      <w:r w:rsidR="008D7FA9" w:rsidRPr="00977958">
        <w:rPr>
          <w:rFonts w:ascii="Garamond" w:hAnsi="Garamond"/>
          <w:sz w:val="24"/>
          <w:szCs w:val="24"/>
        </w:rPr>
        <w:t xml:space="preserve"> </w:t>
      </w:r>
      <w:r w:rsidR="00D474D8" w:rsidRPr="00977958">
        <w:rPr>
          <w:rFonts w:ascii="Garamond" w:hAnsi="Garamond"/>
          <w:sz w:val="24"/>
          <w:szCs w:val="24"/>
        </w:rPr>
        <w:t>central</w:t>
      </w:r>
      <w:r w:rsidR="008D7FA9" w:rsidRPr="00977958">
        <w:rPr>
          <w:rFonts w:ascii="Garamond" w:hAnsi="Garamond"/>
          <w:sz w:val="24"/>
          <w:szCs w:val="24"/>
        </w:rPr>
        <w:t xml:space="preserve"> </w:t>
      </w:r>
      <w:r w:rsidR="000D186C" w:rsidRPr="00977958">
        <w:rPr>
          <w:rFonts w:ascii="Garamond" w:hAnsi="Garamond"/>
          <w:sz w:val="24"/>
          <w:szCs w:val="24"/>
        </w:rPr>
        <w:t>behavior</w:t>
      </w:r>
      <w:r w:rsidR="008D7FA9" w:rsidRPr="00977958">
        <w:rPr>
          <w:rFonts w:ascii="Garamond" w:hAnsi="Garamond"/>
          <w:sz w:val="24"/>
          <w:szCs w:val="24"/>
        </w:rPr>
        <w:t>al</w:t>
      </w:r>
      <w:r w:rsidR="00D474D8" w:rsidRPr="00977958">
        <w:rPr>
          <w:rFonts w:ascii="Garamond" w:hAnsi="Garamond"/>
          <w:sz w:val="24"/>
          <w:szCs w:val="24"/>
        </w:rPr>
        <w:t xml:space="preserve"> </w:t>
      </w:r>
      <w:r w:rsidR="008D7FA9" w:rsidRPr="00977958">
        <w:rPr>
          <w:rFonts w:ascii="Garamond" w:hAnsi="Garamond"/>
          <w:sz w:val="24"/>
          <w:szCs w:val="24"/>
        </w:rPr>
        <w:t xml:space="preserve">assumption </w:t>
      </w:r>
      <w:r w:rsidR="00D474D8" w:rsidRPr="00977958">
        <w:rPr>
          <w:rFonts w:ascii="Garamond" w:hAnsi="Garamond"/>
          <w:sz w:val="24"/>
          <w:szCs w:val="24"/>
        </w:rPr>
        <w:t>in</w:t>
      </w:r>
      <w:r w:rsidR="008D7FA9" w:rsidRPr="00977958">
        <w:rPr>
          <w:rFonts w:ascii="Garamond" w:hAnsi="Garamond"/>
          <w:sz w:val="24"/>
          <w:szCs w:val="24"/>
        </w:rPr>
        <w:t xml:space="preserve"> Merton’s model is that investors</w:t>
      </w:r>
      <w:r w:rsidR="005238A1" w:rsidRPr="00977958">
        <w:rPr>
          <w:rFonts w:ascii="Garamond" w:hAnsi="Garamond"/>
          <w:sz w:val="24"/>
          <w:szCs w:val="24"/>
        </w:rPr>
        <w:t xml:space="preserve"> </w:t>
      </w:r>
      <w:r w:rsidR="005238A1" w:rsidRPr="00977958">
        <w:rPr>
          <w:rFonts w:ascii="Garamond" w:hAnsi="Garamond"/>
          <w:sz w:val="24"/>
          <w:szCs w:val="24"/>
        </w:rPr>
        <w:lastRenderedPageBreak/>
        <w:t xml:space="preserve">tend to </w:t>
      </w:r>
      <w:r w:rsidR="008D7FA9" w:rsidRPr="00977958">
        <w:rPr>
          <w:rFonts w:ascii="Garamond" w:hAnsi="Garamond"/>
          <w:sz w:val="24"/>
          <w:szCs w:val="24"/>
        </w:rPr>
        <w:t>invest in securities with which they are familiar. For securities</w:t>
      </w:r>
      <w:r w:rsidR="009061EC" w:rsidRPr="00977958">
        <w:rPr>
          <w:rFonts w:ascii="Garamond" w:hAnsi="Garamond"/>
          <w:sz w:val="24"/>
          <w:szCs w:val="24"/>
        </w:rPr>
        <w:t xml:space="preserve"> </w:t>
      </w:r>
      <w:r w:rsidR="005238A1" w:rsidRPr="00977958">
        <w:rPr>
          <w:rFonts w:ascii="Garamond" w:hAnsi="Garamond"/>
          <w:sz w:val="24"/>
          <w:szCs w:val="24"/>
        </w:rPr>
        <w:t xml:space="preserve">that are </w:t>
      </w:r>
      <w:r w:rsidR="009061EC" w:rsidRPr="00977958">
        <w:rPr>
          <w:rFonts w:ascii="Garamond" w:hAnsi="Garamond"/>
          <w:sz w:val="24"/>
          <w:szCs w:val="24"/>
        </w:rPr>
        <w:t>unfamiliar to foreign investors</w:t>
      </w:r>
      <w:r w:rsidR="008D7FA9" w:rsidRPr="00977958">
        <w:rPr>
          <w:rFonts w:ascii="Garamond" w:hAnsi="Garamond"/>
          <w:sz w:val="24"/>
          <w:szCs w:val="24"/>
        </w:rPr>
        <w:t xml:space="preserve">, the smaller </w:t>
      </w:r>
      <w:r w:rsidR="00D474D8" w:rsidRPr="00977958">
        <w:rPr>
          <w:rFonts w:ascii="Garamond" w:hAnsi="Garamond"/>
          <w:sz w:val="24"/>
          <w:szCs w:val="24"/>
        </w:rPr>
        <w:t>pool</w:t>
      </w:r>
      <w:r w:rsidR="008D7FA9" w:rsidRPr="00977958">
        <w:rPr>
          <w:rFonts w:ascii="Garamond" w:hAnsi="Garamond"/>
          <w:sz w:val="24"/>
          <w:szCs w:val="24"/>
        </w:rPr>
        <w:t xml:space="preserve"> of </w:t>
      </w:r>
      <w:r w:rsidR="00710BFA" w:rsidRPr="00977958">
        <w:rPr>
          <w:rFonts w:ascii="Garamond" w:hAnsi="Garamond"/>
          <w:sz w:val="24"/>
          <w:szCs w:val="24"/>
        </w:rPr>
        <w:t xml:space="preserve">domestic </w:t>
      </w:r>
      <w:r w:rsidR="008D7FA9" w:rsidRPr="00977958">
        <w:rPr>
          <w:rFonts w:ascii="Garamond" w:hAnsi="Garamond"/>
          <w:sz w:val="24"/>
          <w:szCs w:val="24"/>
        </w:rPr>
        <w:t xml:space="preserve">investors </w:t>
      </w:r>
      <w:r w:rsidR="00D474D8" w:rsidRPr="00977958">
        <w:rPr>
          <w:rFonts w:ascii="Garamond" w:hAnsi="Garamond"/>
          <w:sz w:val="24"/>
          <w:szCs w:val="24"/>
        </w:rPr>
        <w:t xml:space="preserve">may have to take </w:t>
      </w:r>
      <w:r w:rsidR="008D7FA9" w:rsidRPr="00977958">
        <w:rPr>
          <w:rFonts w:ascii="Garamond" w:hAnsi="Garamond"/>
          <w:sz w:val="24"/>
          <w:szCs w:val="24"/>
        </w:rPr>
        <w:t xml:space="preserve">undiversified positions and, consequently, </w:t>
      </w:r>
      <w:r w:rsidR="00D474D8" w:rsidRPr="00977958">
        <w:rPr>
          <w:rFonts w:ascii="Garamond" w:hAnsi="Garamond"/>
          <w:sz w:val="24"/>
          <w:szCs w:val="24"/>
        </w:rPr>
        <w:t xml:space="preserve">may </w:t>
      </w:r>
      <w:r w:rsidR="008D7FA9" w:rsidRPr="00977958">
        <w:rPr>
          <w:rFonts w:ascii="Garamond" w:hAnsi="Garamond"/>
          <w:sz w:val="24"/>
          <w:szCs w:val="24"/>
        </w:rPr>
        <w:t>require higher returns to compensate them for the higher specific risk associated</w:t>
      </w:r>
      <w:r w:rsidR="008926CA" w:rsidRPr="00977958">
        <w:rPr>
          <w:rFonts w:ascii="Garamond" w:hAnsi="Garamond"/>
          <w:sz w:val="24"/>
          <w:szCs w:val="24"/>
        </w:rPr>
        <w:t xml:space="preserve">. </w:t>
      </w:r>
      <w:r w:rsidR="00896548" w:rsidRPr="00977958">
        <w:rPr>
          <w:rFonts w:ascii="Garamond" w:hAnsi="Garamond"/>
          <w:sz w:val="24"/>
          <w:szCs w:val="24"/>
        </w:rPr>
        <w:t>Hence t</w:t>
      </w:r>
      <w:r w:rsidR="00D474D8" w:rsidRPr="00977958">
        <w:rPr>
          <w:rFonts w:ascii="Garamond" w:hAnsi="Garamond"/>
          <w:sz w:val="24"/>
          <w:szCs w:val="24"/>
        </w:rPr>
        <w:t>he main proposition of this model is that the value of a security is increasing in the number of investors who know about the security</w:t>
      </w:r>
      <w:r w:rsidR="008926CA" w:rsidRPr="00977958">
        <w:rPr>
          <w:rFonts w:ascii="Garamond" w:hAnsi="Garamond"/>
          <w:sz w:val="24"/>
          <w:szCs w:val="24"/>
        </w:rPr>
        <w:t xml:space="preserve">. </w:t>
      </w:r>
    </w:p>
    <w:p w:rsidR="00065298" w:rsidRPr="00977958" w:rsidRDefault="00065298" w:rsidP="00C97437">
      <w:pPr>
        <w:pStyle w:val="NoSpacing"/>
        <w:spacing w:line="360" w:lineRule="auto"/>
        <w:jc w:val="both"/>
        <w:rPr>
          <w:rFonts w:ascii="Garamond" w:hAnsi="Garamond"/>
          <w:sz w:val="24"/>
          <w:szCs w:val="24"/>
        </w:rPr>
      </w:pPr>
    </w:p>
    <w:p w:rsidR="00C26638" w:rsidRPr="00977958" w:rsidRDefault="00CC4717" w:rsidP="00C97437">
      <w:pPr>
        <w:pStyle w:val="NoSpacing"/>
        <w:spacing w:line="360" w:lineRule="auto"/>
        <w:jc w:val="both"/>
        <w:rPr>
          <w:rFonts w:ascii="Garamond" w:hAnsi="Garamond"/>
          <w:sz w:val="24"/>
          <w:szCs w:val="24"/>
        </w:rPr>
      </w:pPr>
      <w:r w:rsidRPr="00977958">
        <w:rPr>
          <w:rFonts w:ascii="Garamond" w:hAnsi="Garamond"/>
          <w:sz w:val="24"/>
          <w:szCs w:val="24"/>
        </w:rPr>
        <w:t>Whilst the focus above is on investor heterogeneity, i</w:t>
      </w:r>
      <w:r w:rsidR="00C26638" w:rsidRPr="00977958">
        <w:rPr>
          <w:rFonts w:ascii="Garamond" w:hAnsi="Garamond"/>
          <w:sz w:val="24"/>
          <w:szCs w:val="24"/>
        </w:rPr>
        <w:t xml:space="preserve">nformational heterogeneity and asymmetries between local and foreign investors have been the topics of much research in the equity literature. There </w:t>
      </w:r>
      <w:r w:rsidR="00896548" w:rsidRPr="00977958">
        <w:rPr>
          <w:rFonts w:ascii="Garamond" w:hAnsi="Garamond"/>
          <w:sz w:val="24"/>
          <w:szCs w:val="24"/>
        </w:rPr>
        <w:t>are</w:t>
      </w:r>
      <w:r w:rsidR="00C26638" w:rsidRPr="00977958">
        <w:rPr>
          <w:rFonts w:ascii="Garamond" w:hAnsi="Garamond"/>
          <w:sz w:val="24"/>
          <w:szCs w:val="24"/>
        </w:rPr>
        <w:t xml:space="preserve"> contrasting hypotheses and evidence on whether local investors possess superior information and, therefore, superior valuation skills (see Kalev</w:t>
      </w:r>
      <w:r w:rsidR="004E1763" w:rsidRPr="00977958">
        <w:rPr>
          <w:rFonts w:ascii="Garamond" w:hAnsi="Garamond"/>
          <w:sz w:val="24"/>
          <w:szCs w:val="24"/>
        </w:rPr>
        <w:t xml:space="preserve"> </w:t>
      </w:r>
      <w:r w:rsidR="004E1763" w:rsidRPr="00977958">
        <w:rPr>
          <w:rFonts w:ascii="Garamond" w:hAnsi="Garamond"/>
          <w:i/>
          <w:sz w:val="24"/>
          <w:szCs w:val="24"/>
        </w:rPr>
        <w:t>et al</w:t>
      </w:r>
      <w:r w:rsidR="00C24F33" w:rsidRPr="00977958">
        <w:rPr>
          <w:rFonts w:ascii="Garamond" w:hAnsi="Garamond"/>
          <w:i/>
          <w:sz w:val="24"/>
          <w:szCs w:val="24"/>
        </w:rPr>
        <w:t>.</w:t>
      </w:r>
      <w:r w:rsidR="00C26638" w:rsidRPr="00977958">
        <w:rPr>
          <w:rFonts w:ascii="Garamond" w:hAnsi="Garamond"/>
          <w:sz w:val="24"/>
          <w:szCs w:val="24"/>
        </w:rPr>
        <w:t>, 2008)</w:t>
      </w:r>
      <w:r w:rsidR="008926CA" w:rsidRPr="00977958">
        <w:rPr>
          <w:rFonts w:ascii="Garamond" w:hAnsi="Garamond"/>
          <w:sz w:val="24"/>
          <w:szCs w:val="24"/>
        </w:rPr>
        <w:t xml:space="preserve">. </w:t>
      </w:r>
      <w:r w:rsidR="00C26638" w:rsidRPr="00977958">
        <w:rPr>
          <w:rFonts w:ascii="Garamond" w:hAnsi="Garamond"/>
          <w:sz w:val="24"/>
          <w:szCs w:val="24"/>
        </w:rPr>
        <w:t xml:space="preserve"> On the one hand, it is argued that local investors are faced with fewer investment barriers compared foreign investors and, as a result, have  easier access to firm-specif</w:t>
      </w:r>
      <w:r w:rsidR="005238A1" w:rsidRPr="00977958">
        <w:rPr>
          <w:rFonts w:ascii="Garamond" w:hAnsi="Garamond"/>
          <w:sz w:val="24"/>
          <w:szCs w:val="24"/>
        </w:rPr>
        <w:t>ic information (see for example:</w:t>
      </w:r>
      <w:r w:rsidR="00C26638" w:rsidRPr="00977958">
        <w:rPr>
          <w:rFonts w:ascii="Garamond" w:hAnsi="Garamond"/>
          <w:sz w:val="24"/>
          <w:szCs w:val="24"/>
        </w:rPr>
        <w:t xml:space="preserve"> Hau, 2001; Dvorak, 2005; Brennan and Cao, 1997; Parwada </w:t>
      </w:r>
      <w:r w:rsidR="00C26638" w:rsidRPr="00977958">
        <w:rPr>
          <w:rFonts w:ascii="Garamond" w:hAnsi="Garamond"/>
          <w:i/>
          <w:sz w:val="24"/>
          <w:szCs w:val="24"/>
        </w:rPr>
        <w:t>et al</w:t>
      </w:r>
      <w:r w:rsidR="00C26638" w:rsidRPr="00977958">
        <w:rPr>
          <w:rFonts w:ascii="Garamond" w:hAnsi="Garamond"/>
          <w:sz w:val="24"/>
          <w:szCs w:val="24"/>
        </w:rPr>
        <w:t>., 2007). On the other, it has been argued that foreign investors tend to be more sophisticated investors with superior investment skills making better investment decisions (see Froot and Ramadorai, 2001; Grinblatt and</w:t>
      </w:r>
      <w:r w:rsidR="00D8729D" w:rsidRPr="00977958">
        <w:rPr>
          <w:rFonts w:ascii="Garamond" w:hAnsi="Garamond"/>
          <w:sz w:val="24"/>
          <w:szCs w:val="24"/>
        </w:rPr>
        <w:t xml:space="preserve"> Keloharju, 2000; Karolyi, 2002;</w:t>
      </w:r>
      <w:r w:rsidR="00C26638" w:rsidRPr="00977958">
        <w:rPr>
          <w:rFonts w:ascii="Garamond" w:hAnsi="Garamond"/>
          <w:sz w:val="24"/>
          <w:szCs w:val="24"/>
        </w:rPr>
        <w:t xml:space="preserve"> Seasholes, 2004 among others)</w:t>
      </w:r>
      <w:r w:rsidR="008926CA" w:rsidRPr="00977958">
        <w:rPr>
          <w:rFonts w:ascii="Garamond" w:hAnsi="Garamond"/>
          <w:sz w:val="24"/>
          <w:szCs w:val="24"/>
        </w:rPr>
        <w:t xml:space="preserve">. </w:t>
      </w:r>
      <w:r w:rsidR="00C26638" w:rsidRPr="00977958">
        <w:rPr>
          <w:rFonts w:ascii="Garamond" w:hAnsi="Garamond"/>
          <w:sz w:val="24"/>
          <w:szCs w:val="24"/>
        </w:rPr>
        <w:t xml:space="preserve">Chen </w:t>
      </w:r>
      <w:r w:rsidR="00C26638" w:rsidRPr="00977958">
        <w:rPr>
          <w:rFonts w:ascii="Garamond" w:hAnsi="Garamond"/>
          <w:i/>
          <w:sz w:val="24"/>
          <w:szCs w:val="24"/>
        </w:rPr>
        <w:t>et al</w:t>
      </w:r>
      <w:r w:rsidR="00C24F33" w:rsidRPr="00977958">
        <w:rPr>
          <w:rFonts w:ascii="Garamond" w:hAnsi="Garamond"/>
          <w:i/>
          <w:sz w:val="24"/>
          <w:szCs w:val="24"/>
        </w:rPr>
        <w:t>.</w:t>
      </w:r>
      <w:r w:rsidR="00C26638" w:rsidRPr="00977958">
        <w:rPr>
          <w:rFonts w:ascii="Garamond" w:hAnsi="Garamond"/>
          <w:sz w:val="24"/>
          <w:szCs w:val="24"/>
        </w:rPr>
        <w:t xml:space="preserve"> (2009) identify a range of contrasting and inconsistent empirical findings on the </w:t>
      </w:r>
      <w:r w:rsidR="005238A1" w:rsidRPr="00977958">
        <w:rPr>
          <w:rFonts w:ascii="Garamond" w:hAnsi="Garamond"/>
          <w:sz w:val="24"/>
          <w:szCs w:val="24"/>
        </w:rPr>
        <w:t xml:space="preserve">relative </w:t>
      </w:r>
      <w:r w:rsidR="00C26638" w:rsidRPr="00977958">
        <w:rPr>
          <w:rFonts w:ascii="Garamond" w:hAnsi="Garamond"/>
          <w:sz w:val="24"/>
          <w:szCs w:val="24"/>
        </w:rPr>
        <w:t xml:space="preserve">performance of local and foreign investors. </w:t>
      </w:r>
      <w:r w:rsidR="00464381" w:rsidRPr="00977958">
        <w:rPr>
          <w:rFonts w:ascii="Garamond" w:hAnsi="Garamond"/>
          <w:sz w:val="24"/>
          <w:szCs w:val="24"/>
        </w:rPr>
        <w:t>This inconsistency suggest</w:t>
      </w:r>
      <w:r w:rsidR="005238A1" w:rsidRPr="00977958">
        <w:rPr>
          <w:rFonts w:ascii="Garamond" w:hAnsi="Garamond"/>
          <w:sz w:val="24"/>
          <w:szCs w:val="24"/>
        </w:rPr>
        <w:t>s</w:t>
      </w:r>
      <w:r w:rsidR="00C26638" w:rsidRPr="00977958">
        <w:rPr>
          <w:rFonts w:ascii="Garamond" w:hAnsi="Garamond"/>
          <w:sz w:val="24"/>
          <w:szCs w:val="24"/>
        </w:rPr>
        <w:t xml:space="preserve"> that the relative performance</w:t>
      </w:r>
      <w:r w:rsidR="00464381" w:rsidRPr="00977958">
        <w:rPr>
          <w:rFonts w:ascii="Garamond" w:hAnsi="Garamond"/>
          <w:sz w:val="24"/>
          <w:szCs w:val="24"/>
        </w:rPr>
        <w:t xml:space="preserve"> and pricing ability</w:t>
      </w:r>
      <w:r w:rsidR="00C26638" w:rsidRPr="00977958">
        <w:rPr>
          <w:rFonts w:ascii="Garamond" w:hAnsi="Garamond"/>
          <w:sz w:val="24"/>
          <w:szCs w:val="24"/>
        </w:rPr>
        <w:t xml:space="preserve"> of local and foreign investors is contingent upon timescale of investment, locations of stock listing, maturity of the local market </w:t>
      </w:r>
      <w:r w:rsidR="00C26638" w:rsidRPr="00977958">
        <w:rPr>
          <w:rFonts w:ascii="Garamond" w:hAnsi="Garamond"/>
          <w:i/>
          <w:sz w:val="24"/>
          <w:szCs w:val="24"/>
        </w:rPr>
        <w:t>inter alia</w:t>
      </w:r>
      <w:r w:rsidR="00C26638" w:rsidRPr="00977958">
        <w:rPr>
          <w:rFonts w:ascii="Garamond" w:hAnsi="Garamond"/>
          <w:sz w:val="24"/>
          <w:szCs w:val="24"/>
        </w:rPr>
        <w:t>.</w:t>
      </w:r>
    </w:p>
    <w:p w:rsidR="00C26638" w:rsidRPr="00977958" w:rsidRDefault="00C26638" w:rsidP="00C97437">
      <w:pPr>
        <w:pStyle w:val="NoSpacing"/>
        <w:spacing w:line="360" w:lineRule="auto"/>
        <w:jc w:val="both"/>
        <w:rPr>
          <w:rFonts w:ascii="Garamond" w:hAnsi="Garamond"/>
          <w:sz w:val="24"/>
          <w:szCs w:val="24"/>
        </w:rPr>
      </w:pPr>
    </w:p>
    <w:p w:rsidR="00CE2A31" w:rsidRPr="00977958" w:rsidRDefault="009061EC" w:rsidP="00C97437">
      <w:pPr>
        <w:pStyle w:val="NoSpacing"/>
        <w:spacing w:line="360" w:lineRule="auto"/>
        <w:jc w:val="both"/>
        <w:rPr>
          <w:rFonts w:ascii="Garamond" w:hAnsi="Garamond"/>
          <w:bCs/>
          <w:sz w:val="24"/>
          <w:szCs w:val="24"/>
        </w:rPr>
      </w:pPr>
      <w:r w:rsidRPr="00977958">
        <w:rPr>
          <w:rFonts w:ascii="Garamond" w:hAnsi="Garamond"/>
          <w:sz w:val="24"/>
          <w:szCs w:val="24"/>
        </w:rPr>
        <w:t>Although there are inconsistent findings on the relative performance of foreign and local investors, a</w:t>
      </w:r>
      <w:r w:rsidR="00023B99" w:rsidRPr="00977958">
        <w:rPr>
          <w:rFonts w:ascii="Garamond" w:hAnsi="Garamond"/>
          <w:sz w:val="24"/>
          <w:szCs w:val="24"/>
        </w:rPr>
        <w:t xml:space="preserve"> stylized fact from </w:t>
      </w:r>
      <w:r w:rsidRPr="00977958">
        <w:rPr>
          <w:rFonts w:ascii="Garamond" w:hAnsi="Garamond"/>
          <w:sz w:val="24"/>
          <w:szCs w:val="24"/>
        </w:rPr>
        <w:t xml:space="preserve">the body of </w:t>
      </w:r>
      <w:r w:rsidR="00023B99" w:rsidRPr="00977958">
        <w:rPr>
          <w:rFonts w:ascii="Garamond" w:hAnsi="Garamond"/>
          <w:sz w:val="24"/>
          <w:szCs w:val="24"/>
        </w:rPr>
        <w:t>empirical work</w:t>
      </w:r>
      <w:r w:rsidR="00CC4717" w:rsidRPr="00977958">
        <w:rPr>
          <w:rFonts w:ascii="Garamond" w:hAnsi="Garamond"/>
          <w:sz w:val="24"/>
          <w:szCs w:val="24"/>
        </w:rPr>
        <w:t xml:space="preserve"> in equity markets</w:t>
      </w:r>
      <w:r w:rsidR="00023B99" w:rsidRPr="00977958">
        <w:rPr>
          <w:rFonts w:ascii="Garamond" w:hAnsi="Garamond"/>
          <w:sz w:val="24"/>
          <w:szCs w:val="24"/>
        </w:rPr>
        <w:t xml:space="preserve"> is that foreign investors tend to have different patterns of investment compared to local investors and that the effect is to lower firms’ cost of capital</w:t>
      </w:r>
      <w:r w:rsidR="008926CA" w:rsidRPr="00977958">
        <w:rPr>
          <w:rFonts w:ascii="Garamond" w:hAnsi="Garamond"/>
          <w:sz w:val="24"/>
          <w:szCs w:val="24"/>
        </w:rPr>
        <w:t xml:space="preserve">. </w:t>
      </w:r>
      <w:r w:rsidR="005238A1" w:rsidRPr="00977958">
        <w:rPr>
          <w:rFonts w:ascii="Garamond" w:hAnsi="Garamond"/>
          <w:sz w:val="24"/>
          <w:szCs w:val="24"/>
        </w:rPr>
        <w:t xml:space="preserve"> </w:t>
      </w:r>
      <w:r w:rsidR="00C26638" w:rsidRPr="00977958">
        <w:rPr>
          <w:rFonts w:ascii="Garamond" w:hAnsi="Garamond"/>
          <w:sz w:val="24"/>
          <w:szCs w:val="24"/>
        </w:rPr>
        <w:t xml:space="preserve">Much of the research tends to </w:t>
      </w:r>
      <w:r w:rsidR="00464381" w:rsidRPr="00977958">
        <w:rPr>
          <w:rFonts w:ascii="Garamond" w:hAnsi="Garamond"/>
          <w:sz w:val="24"/>
          <w:szCs w:val="24"/>
        </w:rPr>
        <w:t xml:space="preserve">be </w:t>
      </w:r>
      <w:r w:rsidR="00C26638" w:rsidRPr="00977958">
        <w:rPr>
          <w:rFonts w:ascii="Garamond" w:hAnsi="Garamond"/>
          <w:sz w:val="24"/>
          <w:szCs w:val="24"/>
        </w:rPr>
        <w:t>con</w:t>
      </w:r>
      <w:r w:rsidR="00464381" w:rsidRPr="00977958">
        <w:rPr>
          <w:rFonts w:ascii="Garamond" w:hAnsi="Garamond"/>
          <w:sz w:val="24"/>
          <w:szCs w:val="24"/>
        </w:rPr>
        <w:t>sistent with</w:t>
      </w:r>
      <w:r w:rsidR="00C26638" w:rsidRPr="00977958">
        <w:rPr>
          <w:rFonts w:ascii="Garamond" w:hAnsi="Garamond"/>
          <w:sz w:val="24"/>
          <w:szCs w:val="24"/>
        </w:rPr>
        <w:t xml:space="preserve"> Merton’s investor recognition hypothesis</w:t>
      </w:r>
      <w:r w:rsidR="008926CA" w:rsidRPr="00977958">
        <w:rPr>
          <w:rFonts w:ascii="Garamond" w:hAnsi="Garamond"/>
          <w:sz w:val="24"/>
          <w:szCs w:val="24"/>
        </w:rPr>
        <w:t xml:space="preserve">. </w:t>
      </w:r>
      <w:r w:rsidR="00C26638" w:rsidRPr="00977958">
        <w:rPr>
          <w:rFonts w:ascii="Garamond" w:hAnsi="Garamond"/>
          <w:sz w:val="24"/>
          <w:szCs w:val="24"/>
        </w:rPr>
        <w:t>The level of f</w:t>
      </w:r>
      <w:r w:rsidR="00023B99" w:rsidRPr="00977958">
        <w:rPr>
          <w:rFonts w:ascii="Garamond" w:hAnsi="Garamond"/>
          <w:sz w:val="24"/>
          <w:szCs w:val="24"/>
        </w:rPr>
        <w:t>oreign ownership seems to be positively related to the market capitalization of firms and the amount of cash on their balance sheets, and negatively related to dividend yields</w:t>
      </w:r>
      <w:r w:rsidR="008926CA" w:rsidRPr="00977958">
        <w:rPr>
          <w:rFonts w:ascii="Garamond" w:hAnsi="Garamond"/>
          <w:sz w:val="24"/>
          <w:szCs w:val="24"/>
        </w:rPr>
        <w:t xml:space="preserve">. </w:t>
      </w:r>
      <w:r w:rsidRPr="00977958">
        <w:rPr>
          <w:rFonts w:ascii="Garamond" w:hAnsi="Garamond"/>
          <w:sz w:val="24"/>
          <w:szCs w:val="24"/>
        </w:rPr>
        <w:t xml:space="preserve">Covrig </w:t>
      </w:r>
      <w:r w:rsidRPr="00977958">
        <w:rPr>
          <w:rFonts w:ascii="Garamond" w:hAnsi="Garamond"/>
          <w:i/>
          <w:sz w:val="24"/>
          <w:szCs w:val="24"/>
        </w:rPr>
        <w:t>et al</w:t>
      </w:r>
      <w:r w:rsidR="008C5226" w:rsidRPr="00977958">
        <w:rPr>
          <w:rFonts w:ascii="Garamond" w:hAnsi="Garamond"/>
          <w:i/>
          <w:sz w:val="24"/>
          <w:szCs w:val="24"/>
        </w:rPr>
        <w:t>.</w:t>
      </w:r>
      <w:r w:rsidRPr="00977958">
        <w:rPr>
          <w:rFonts w:ascii="Garamond" w:hAnsi="Garamond"/>
          <w:sz w:val="24"/>
          <w:szCs w:val="24"/>
        </w:rPr>
        <w:t xml:space="preserve"> (2007) find that foreign fund managers tend to </w:t>
      </w:r>
      <w:r w:rsidRPr="00977958">
        <w:rPr>
          <w:rFonts w:ascii="Garamond" w:hAnsi="Garamond"/>
          <w:bCs/>
          <w:sz w:val="24"/>
          <w:szCs w:val="24"/>
        </w:rPr>
        <w:t>invest only in those stocks that they know about with large market capitalization, large foreign sales, extensive analyst coverage, and whose stocks have foreign listings and index memberships</w:t>
      </w:r>
      <w:r w:rsidR="008926CA" w:rsidRPr="00977958">
        <w:rPr>
          <w:rFonts w:ascii="Garamond" w:hAnsi="Garamond"/>
          <w:bCs/>
          <w:sz w:val="24"/>
          <w:szCs w:val="24"/>
        </w:rPr>
        <w:t xml:space="preserve">. </w:t>
      </w:r>
      <w:r w:rsidR="00023B99" w:rsidRPr="00977958">
        <w:rPr>
          <w:rFonts w:ascii="Garamond" w:hAnsi="Garamond"/>
          <w:sz w:val="24"/>
          <w:szCs w:val="24"/>
        </w:rPr>
        <w:t>For instance, Kang and Stulz (199</w:t>
      </w:r>
      <w:r w:rsidR="00CC4717" w:rsidRPr="00977958">
        <w:rPr>
          <w:rFonts w:ascii="Garamond" w:hAnsi="Garamond"/>
          <w:sz w:val="24"/>
          <w:szCs w:val="24"/>
        </w:rPr>
        <w:t>7) fou</w:t>
      </w:r>
      <w:r w:rsidR="00023B99" w:rsidRPr="00977958">
        <w:rPr>
          <w:rFonts w:ascii="Garamond" w:hAnsi="Garamond"/>
          <w:sz w:val="24"/>
          <w:szCs w:val="24"/>
        </w:rPr>
        <w:t>nd that foreigners investing in Japan tend to be underweight in smaller and highly leveraged firms</w:t>
      </w:r>
      <w:r w:rsidR="008926CA" w:rsidRPr="00977958">
        <w:rPr>
          <w:rFonts w:ascii="Garamond" w:hAnsi="Garamond"/>
          <w:sz w:val="24"/>
          <w:szCs w:val="24"/>
        </w:rPr>
        <w:t xml:space="preserve">. </w:t>
      </w:r>
      <w:r w:rsidR="00FF4513" w:rsidRPr="00977958">
        <w:rPr>
          <w:rFonts w:ascii="Garamond" w:hAnsi="Garamond"/>
          <w:bCs/>
          <w:sz w:val="24"/>
          <w:szCs w:val="24"/>
        </w:rPr>
        <w:t xml:space="preserve">Looking at pricing effects, </w:t>
      </w:r>
      <w:r w:rsidR="007A3CE7" w:rsidRPr="00977958">
        <w:rPr>
          <w:rFonts w:ascii="Garamond" w:hAnsi="Garamond"/>
          <w:bCs/>
          <w:sz w:val="24"/>
          <w:szCs w:val="24"/>
        </w:rPr>
        <w:t>Dahlqui</w:t>
      </w:r>
      <w:r w:rsidR="00CC4717" w:rsidRPr="00977958">
        <w:rPr>
          <w:rFonts w:ascii="Garamond" w:hAnsi="Garamond"/>
          <w:bCs/>
          <w:sz w:val="24"/>
          <w:szCs w:val="24"/>
        </w:rPr>
        <w:t>st and Robertsson (2004) fou</w:t>
      </w:r>
      <w:r w:rsidR="007A3CE7" w:rsidRPr="00977958">
        <w:rPr>
          <w:rFonts w:ascii="Garamond" w:hAnsi="Garamond"/>
          <w:bCs/>
          <w:sz w:val="24"/>
          <w:szCs w:val="24"/>
        </w:rPr>
        <w:t xml:space="preserve">nd a strong link between the magnitude of a price impact and the fraction of foreign ownership of a firm; the higher the fraction, the larger is the price impact. Large, </w:t>
      </w:r>
      <w:r w:rsidR="007A3CE7" w:rsidRPr="00977958">
        <w:rPr>
          <w:rFonts w:ascii="Garamond" w:hAnsi="Garamond"/>
          <w:bCs/>
          <w:sz w:val="24"/>
          <w:szCs w:val="24"/>
        </w:rPr>
        <w:lastRenderedPageBreak/>
        <w:t>financially solid, and well-known firms show the largest reductions of cost of equity capital due to foreign investors.</w:t>
      </w:r>
    </w:p>
    <w:p w:rsidR="00FF4513" w:rsidRPr="00977958" w:rsidRDefault="00FF4513" w:rsidP="00C97437">
      <w:pPr>
        <w:pStyle w:val="NoSpacing"/>
        <w:spacing w:line="360" w:lineRule="auto"/>
        <w:jc w:val="both"/>
        <w:rPr>
          <w:rFonts w:ascii="Garamond" w:hAnsi="Garamond"/>
          <w:bCs/>
          <w:sz w:val="24"/>
          <w:szCs w:val="24"/>
        </w:rPr>
      </w:pPr>
    </w:p>
    <w:p w:rsidR="002C7DD6" w:rsidRPr="00977958" w:rsidRDefault="00023B99" w:rsidP="00C97437">
      <w:pPr>
        <w:pStyle w:val="NoSpacing"/>
        <w:spacing w:line="360" w:lineRule="auto"/>
        <w:jc w:val="both"/>
        <w:rPr>
          <w:rFonts w:ascii="Garamond" w:hAnsi="Garamond"/>
          <w:sz w:val="24"/>
          <w:szCs w:val="24"/>
          <w:lang w:val="en-US"/>
        </w:rPr>
      </w:pPr>
      <w:r w:rsidRPr="00977958">
        <w:rPr>
          <w:rFonts w:ascii="Garamond" w:hAnsi="Garamond"/>
          <w:sz w:val="24"/>
          <w:szCs w:val="24"/>
          <w:lang w:val="en-US"/>
        </w:rPr>
        <w:t xml:space="preserve">Implicit in </w:t>
      </w:r>
      <w:r w:rsidR="00896548" w:rsidRPr="00977958">
        <w:rPr>
          <w:rFonts w:ascii="Garamond" w:hAnsi="Garamond"/>
          <w:sz w:val="24"/>
          <w:szCs w:val="24"/>
          <w:lang w:val="en-US"/>
        </w:rPr>
        <w:t xml:space="preserve">the conventional wisdom about foreign investment is that weight of money </w:t>
      </w:r>
      <w:r w:rsidR="00CE1BE6" w:rsidRPr="00977958">
        <w:rPr>
          <w:rFonts w:ascii="Garamond" w:hAnsi="Garamond"/>
          <w:sz w:val="24"/>
          <w:szCs w:val="24"/>
          <w:lang w:val="en-US"/>
        </w:rPr>
        <w:t xml:space="preserve">produces </w:t>
      </w:r>
      <w:r w:rsidR="005238A1" w:rsidRPr="00977958">
        <w:rPr>
          <w:rFonts w:ascii="Garamond" w:hAnsi="Garamond"/>
          <w:sz w:val="24"/>
          <w:szCs w:val="24"/>
          <w:lang w:val="en-US"/>
        </w:rPr>
        <w:t>‘</w:t>
      </w:r>
      <w:r w:rsidR="00CE1BE6" w:rsidRPr="00977958">
        <w:rPr>
          <w:rFonts w:ascii="Garamond" w:hAnsi="Garamond"/>
          <w:sz w:val="24"/>
          <w:szCs w:val="24"/>
          <w:lang w:val="en-US"/>
        </w:rPr>
        <w:t>price pressure</w:t>
      </w:r>
      <w:r w:rsidR="005238A1" w:rsidRPr="00977958">
        <w:rPr>
          <w:rFonts w:ascii="Garamond" w:hAnsi="Garamond"/>
          <w:sz w:val="24"/>
          <w:szCs w:val="24"/>
          <w:lang w:val="en-US"/>
        </w:rPr>
        <w:t>’</w:t>
      </w:r>
      <w:r w:rsidR="00CE1BE6" w:rsidRPr="00977958">
        <w:rPr>
          <w:rFonts w:ascii="Garamond" w:hAnsi="Garamond"/>
          <w:sz w:val="24"/>
          <w:szCs w:val="24"/>
          <w:lang w:val="en-US"/>
        </w:rPr>
        <w:t xml:space="preserve"> effects</w:t>
      </w:r>
      <w:r w:rsidR="008926CA" w:rsidRPr="00977958">
        <w:rPr>
          <w:rFonts w:ascii="Garamond" w:hAnsi="Garamond"/>
          <w:sz w:val="24"/>
          <w:szCs w:val="24"/>
          <w:lang w:val="en-US"/>
        </w:rPr>
        <w:t xml:space="preserve">. </w:t>
      </w:r>
      <w:r w:rsidR="00896548" w:rsidRPr="00977958">
        <w:rPr>
          <w:rFonts w:ascii="Garamond" w:hAnsi="Garamond"/>
          <w:sz w:val="24"/>
          <w:szCs w:val="24"/>
          <w:lang w:val="en-US"/>
        </w:rPr>
        <w:t>However, a</w:t>
      </w:r>
      <w:r w:rsidRPr="00977958">
        <w:rPr>
          <w:rFonts w:ascii="Garamond" w:hAnsi="Garamond"/>
          <w:sz w:val="24"/>
          <w:szCs w:val="24"/>
          <w:lang w:val="en-US"/>
        </w:rPr>
        <w:t>s has been restated many times, under the efficient markets hypothesis, investor demand should not matter since prices are supposed to encapsulate the present value of the cash flow generated by the asset. Given this horizontal demand curve assumption, investors should be able to buy or sell any amount of a security without affecting its price</w:t>
      </w:r>
      <w:r w:rsidR="008926CA" w:rsidRPr="00977958">
        <w:rPr>
          <w:rFonts w:ascii="Garamond" w:hAnsi="Garamond"/>
          <w:sz w:val="24"/>
          <w:szCs w:val="24"/>
          <w:lang w:val="en-US"/>
        </w:rPr>
        <w:t xml:space="preserve">. </w:t>
      </w:r>
      <w:r w:rsidRPr="00977958">
        <w:rPr>
          <w:rFonts w:ascii="Garamond" w:hAnsi="Garamond"/>
          <w:sz w:val="24"/>
          <w:szCs w:val="24"/>
          <w:lang w:val="en-US"/>
        </w:rPr>
        <w:t xml:space="preserve">The </w:t>
      </w:r>
      <w:r w:rsidR="002C7DD6" w:rsidRPr="00977958">
        <w:rPr>
          <w:rFonts w:ascii="Garamond" w:hAnsi="Garamond"/>
          <w:sz w:val="24"/>
          <w:szCs w:val="24"/>
          <w:lang w:val="en-US"/>
        </w:rPr>
        <w:t>common empirical observation</w:t>
      </w:r>
      <w:r w:rsidRPr="00977958">
        <w:rPr>
          <w:rFonts w:ascii="Garamond" w:hAnsi="Garamond"/>
          <w:sz w:val="24"/>
          <w:szCs w:val="24"/>
          <w:lang w:val="en-US"/>
        </w:rPr>
        <w:t xml:space="preserve"> of a downward sloping demand curve for securities is typically explained by deviations from a perfect market. In market segmentation literature, there is a longstanding body of work suggesting that the size and nature of the investor base </w:t>
      </w:r>
      <w:r w:rsidR="00896548" w:rsidRPr="00977958">
        <w:rPr>
          <w:rFonts w:ascii="Garamond" w:hAnsi="Garamond"/>
          <w:sz w:val="24"/>
          <w:szCs w:val="24"/>
          <w:lang w:val="en-US"/>
        </w:rPr>
        <w:t xml:space="preserve">does </w:t>
      </w:r>
      <w:r w:rsidRPr="00977958">
        <w:rPr>
          <w:rFonts w:ascii="Garamond" w:hAnsi="Garamond"/>
          <w:sz w:val="24"/>
          <w:szCs w:val="24"/>
          <w:lang w:val="en-US"/>
        </w:rPr>
        <w:t xml:space="preserve">affect security prices. </w:t>
      </w:r>
      <w:r w:rsidR="002C7DD6" w:rsidRPr="00977958">
        <w:rPr>
          <w:rFonts w:ascii="Garamond" w:hAnsi="Garamond"/>
          <w:sz w:val="24"/>
          <w:szCs w:val="24"/>
          <w:lang w:val="en-US"/>
        </w:rPr>
        <w:t>W</w:t>
      </w:r>
      <w:r w:rsidRPr="00977958">
        <w:rPr>
          <w:rFonts w:ascii="Garamond" w:hAnsi="Garamond"/>
          <w:sz w:val="24"/>
          <w:szCs w:val="24"/>
          <w:lang w:val="en-US"/>
        </w:rPr>
        <w:t xml:space="preserve">hen perfect market assumptions are relaxed, there are strong </w:t>
      </w:r>
      <w:r w:rsidRPr="00977958">
        <w:rPr>
          <w:rFonts w:ascii="Garamond" w:hAnsi="Garamond"/>
          <w:i/>
          <w:sz w:val="24"/>
          <w:szCs w:val="24"/>
          <w:lang w:val="en-US"/>
        </w:rPr>
        <w:t>a priori</w:t>
      </w:r>
      <w:r w:rsidRPr="00977958">
        <w:rPr>
          <w:rFonts w:ascii="Garamond" w:hAnsi="Garamond"/>
          <w:sz w:val="24"/>
          <w:szCs w:val="24"/>
          <w:lang w:val="en-US"/>
        </w:rPr>
        <w:t xml:space="preserve"> grounds to predict that the size of a security’s investor base will affect its prices and returns</w:t>
      </w:r>
      <w:r w:rsidR="008926CA" w:rsidRPr="00977958">
        <w:rPr>
          <w:rFonts w:ascii="Garamond" w:hAnsi="Garamond"/>
          <w:sz w:val="24"/>
          <w:szCs w:val="24"/>
          <w:lang w:val="en-US"/>
        </w:rPr>
        <w:t xml:space="preserve">. </w:t>
      </w:r>
    </w:p>
    <w:p w:rsidR="002C7DD6" w:rsidRPr="00977958" w:rsidRDefault="002C7DD6" w:rsidP="00C97437">
      <w:pPr>
        <w:pStyle w:val="NoSpacing"/>
        <w:spacing w:line="360" w:lineRule="auto"/>
        <w:jc w:val="both"/>
        <w:rPr>
          <w:rFonts w:ascii="Garamond" w:hAnsi="Garamond"/>
          <w:sz w:val="24"/>
          <w:szCs w:val="24"/>
          <w:lang w:val="en-US"/>
        </w:rPr>
      </w:pPr>
    </w:p>
    <w:p w:rsidR="0087039B" w:rsidRPr="00977958" w:rsidRDefault="00023B99" w:rsidP="00C97437">
      <w:pPr>
        <w:pStyle w:val="NoSpacing"/>
        <w:spacing w:line="360" w:lineRule="auto"/>
        <w:jc w:val="both"/>
        <w:rPr>
          <w:rFonts w:ascii="Garamond" w:hAnsi="Garamond"/>
          <w:sz w:val="24"/>
          <w:szCs w:val="24"/>
          <w:lang w:val="en-US"/>
        </w:rPr>
      </w:pPr>
      <w:r w:rsidRPr="00977958">
        <w:rPr>
          <w:rFonts w:ascii="Garamond" w:hAnsi="Garamond"/>
          <w:sz w:val="24"/>
          <w:szCs w:val="24"/>
          <w:lang w:val="en-US"/>
        </w:rPr>
        <w:t xml:space="preserve">In commercial real estate markets, </w:t>
      </w:r>
      <w:r w:rsidR="005238A1" w:rsidRPr="00977958">
        <w:rPr>
          <w:rFonts w:ascii="Garamond" w:hAnsi="Garamond"/>
          <w:sz w:val="24"/>
          <w:szCs w:val="24"/>
          <w:lang w:val="en-US"/>
        </w:rPr>
        <w:t xml:space="preserve">compared to the equity and bond markets </w:t>
      </w:r>
      <w:r w:rsidRPr="00977958">
        <w:rPr>
          <w:rFonts w:ascii="Garamond" w:hAnsi="Garamond"/>
          <w:sz w:val="24"/>
          <w:szCs w:val="24"/>
          <w:lang w:val="en-US"/>
        </w:rPr>
        <w:t xml:space="preserve">deviations from perfect market assumptions are substantially larger. Thin trading, high search costs, information asymmetries, heterogeneous assets and expectations all increase </w:t>
      </w:r>
      <w:r w:rsidR="009061EC" w:rsidRPr="00977958">
        <w:rPr>
          <w:rFonts w:ascii="Garamond" w:hAnsi="Garamond"/>
          <w:sz w:val="24"/>
          <w:szCs w:val="24"/>
          <w:lang w:val="en-US"/>
        </w:rPr>
        <w:t xml:space="preserve">the potential </w:t>
      </w:r>
      <w:r w:rsidRPr="00977958">
        <w:rPr>
          <w:rFonts w:ascii="Garamond" w:hAnsi="Garamond"/>
          <w:sz w:val="24"/>
          <w:szCs w:val="24"/>
          <w:lang w:val="en-US"/>
        </w:rPr>
        <w:t>size</w:t>
      </w:r>
      <w:r w:rsidR="009061EC" w:rsidRPr="00977958">
        <w:rPr>
          <w:rFonts w:ascii="Garamond" w:hAnsi="Garamond"/>
          <w:sz w:val="24"/>
          <w:szCs w:val="24"/>
          <w:lang w:val="en-US"/>
        </w:rPr>
        <w:t xml:space="preserve"> and </w:t>
      </w:r>
      <w:r w:rsidRPr="00977958">
        <w:rPr>
          <w:rFonts w:ascii="Garamond" w:hAnsi="Garamond"/>
          <w:sz w:val="24"/>
          <w:szCs w:val="24"/>
          <w:lang w:val="en-US"/>
        </w:rPr>
        <w:t>significance of clientele effects</w:t>
      </w:r>
      <w:r w:rsidR="008926CA" w:rsidRPr="00977958">
        <w:rPr>
          <w:rFonts w:ascii="Garamond" w:hAnsi="Garamond"/>
          <w:sz w:val="24"/>
          <w:szCs w:val="24"/>
          <w:lang w:val="en-US"/>
        </w:rPr>
        <w:t xml:space="preserve">. </w:t>
      </w:r>
      <w:r w:rsidRPr="00977958">
        <w:rPr>
          <w:rFonts w:ascii="Garamond" w:hAnsi="Garamond"/>
          <w:sz w:val="24"/>
          <w:szCs w:val="24"/>
          <w:lang w:val="en-US"/>
        </w:rPr>
        <w:t>Segmentation is also often highlighted between investor types</w:t>
      </w:r>
      <w:r w:rsidR="008926CA" w:rsidRPr="00977958">
        <w:rPr>
          <w:rFonts w:ascii="Garamond" w:hAnsi="Garamond"/>
          <w:sz w:val="24"/>
          <w:szCs w:val="24"/>
          <w:lang w:val="en-US"/>
        </w:rPr>
        <w:t xml:space="preserve">. </w:t>
      </w:r>
      <w:r w:rsidRPr="00977958">
        <w:rPr>
          <w:rFonts w:ascii="Garamond" w:hAnsi="Garamond"/>
          <w:sz w:val="24"/>
          <w:szCs w:val="24"/>
          <w:lang w:val="en-US"/>
        </w:rPr>
        <w:t xml:space="preserve">Short-hand clientele investor categories such as institution/non-institutional and core/value/opportunistic reflect variations in risk preferences amongst investor groups. Indeed, assets are also classified in the same way. There tends to be cross-sectional and time-varying variations in marginal investors for real estate assets with different investment qualities. </w:t>
      </w:r>
    </w:p>
    <w:p w:rsidR="0087039B" w:rsidRPr="00977958" w:rsidRDefault="0087039B" w:rsidP="00C97437">
      <w:pPr>
        <w:pStyle w:val="NoSpacing"/>
        <w:spacing w:line="360" w:lineRule="auto"/>
        <w:jc w:val="both"/>
        <w:rPr>
          <w:rFonts w:ascii="Garamond" w:hAnsi="Garamond"/>
          <w:sz w:val="24"/>
          <w:szCs w:val="24"/>
          <w:lang w:val="en-US"/>
        </w:rPr>
      </w:pPr>
    </w:p>
    <w:p w:rsidR="00023B99" w:rsidRPr="00977958" w:rsidRDefault="00023B99" w:rsidP="00C97437">
      <w:pPr>
        <w:pStyle w:val="NoSpacing"/>
        <w:spacing w:line="360" w:lineRule="auto"/>
        <w:jc w:val="both"/>
        <w:rPr>
          <w:rFonts w:ascii="Garamond" w:hAnsi="Garamond"/>
          <w:sz w:val="24"/>
          <w:szCs w:val="24"/>
          <w:lang w:val="en-US"/>
        </w:rPr>
      </w:pPr>
      <w:r w:rsidRPr="00977958">
        <w:rPr>
          <w:rFonts w:ascii="Garamond" w:hAnsi="Garamond"/>
          <w:sz w:val="24"/>
          <w:szCs w:val="24"/>
          <w:lang w:val="en-US"/>
        </w:rPr>
        <w:t>There has been limited work on clientele effects in commercial real estate markets</w:t>
      </w:r>
      <w:r w:rsidR="008926CA" w:rsidRPr="00977958">
        <w:rPr>
          <w:rFonts w:ascii="Garamond" w:hAnsi="Garamond"/>
          <w:sz w:val="24"/>
          <w:szCs w:val="24"/>
          <w:lang w:val="en-US"/>
        </w:rPr>
        <w:t>.</w:t>
      </w:r>
      <w:r w:rsidR="0087039B" w:rsidRPr="00977958">
        <w:rPr>
          <w:rFonts w:ascii="Garamond" w:eastAsia="SimSun" w:hAnsi="Garamond" w:cs="Mangal"/>
          <w:kern w:val="3"/>
          <w:lang w:eastAsia="zh-CN" w:bidi="hi-IN"/>
        </w:rPr>
        <w:t xml:space="preserve">  </w:t>
      </w:r>
      <w:r w:rsidR="00E573C5" w:rsidRPr="00977958">
        <w:rPr>
          <w:rFonts w:ascii="Garamond" w:eastAsia="SimSun" w:hAnsi="Garamond" w:cs="Mangal"/>
          <w:kern w:val="3"/>
          <w:sz w:val="24"/>
          <w:szCs w:val="24"/>
          <w:lang w:eastAsia="zh-CN" w:bidi="hi-IN"/>
        </w:rPr>
        <w:t>I</w:t>
      </w:r>
      <w:r w:rsidR="00E573C5" w:rsidRPr="00977958">
        <w:rPr>
          <w:rFonts w:ascii="Garamond" w:eastAsia="KaiTi" w:hAnsi="Garamond" w:cs="Times New Roman"/>
          <w:sz w:val="24"/>
          <w:szCs w:val="24"/>
        </w:rPr>
        <w:t xml:space="preserve">t has been argued that the existence of a seller for every buyer means that flow of funds analysis is simply a means of identifying which group or sector moves market prices i.e. the marginal investor(s) (Zheng, 1998). </w:t>
      </w:r>
      <w:r w:rsidR="0087039B" w:rsidRPr="00977958">
        <w:rPr>
          <w:rFonts w:ascii="Garamond" w:eastAsia="SimSun" w:hAnsi="Garamond" w:cs="Mangal"/>
          <w:kern w:val="3"/>
          <w:sz w:val="24"/>
          <w:szCs w:val="24"/>
          <w:lang w:eastAsia="zh-CN" w:bidi="hi-IN"/>
        </w:rPr>
        <w:t xml:space="preserve">Benjamin </w:t>
      </w:r>
      <w:r w:rsidR="0087039B" w:rsidRPr="00977958">
        <w:rPr>
          <w:rFonts w:ascii="Garamond" w:eastAsia="SimSun" w:hAnsi="Garamond" w:cs="Mangal"/>
          <w:i/>
          <w:kern w:val="3"/>
          <w:sz w:val="24"/>
          <w:szCs w:val="24"/>
          <w:lang w:eastAsia="zh-CN" w:bidi="hi-IN"/>
        </w:rPr>
        <w:t>et al</w:t>
      </w:r>
      <w:r w:rsidR="00977958" w:rsidRPr="00977958">
        <w:rPr>
          <w:rFonts w:ascii="Garamond" w:eastAsia="SimSun" w:hAnsi="Garamond" w:cs="Mangal"/>
          <w:i/>
          <w:kern w:val="3"/>
          <w:sz w:val="24"/>
          <w:szCs w:val="24"/>
          <w:lang w:eastAsia="zh-CN" w:bidi="hi-IN"/>
        </w:rPr>
        <w:t>.</w:t>
      </w:r>
      <w:r w:rsidR="0087039B" w:rsidRPr="00977958">
        <w:rPr>
          <w:rFonts w:ascii="Garamond" w:eastAsia="SimSun" w:hAnsi="Garamond" w:cs="Mangal"/>
          <w:i/>
          <w:kern w:val="3"/>
          <w:sz w:val="24"/>
          <w:szCs w:val="24"/>
          <w:lang w:eastAsia="zh-CN" w:bidi="hi-IN"/>
        </w:rPr>
        <w:t xml:space="preserve"> </w:t>
      </w:r>
      <w:r w:rsidR="0087039B" w:rsidRPr="00977958">
        <w:rPr>
          <w:rFonts w:ascii="Garamond" w:eastAsia="SimSun" w:hAnsi="Garamond" w:cs="Mangal"/>
          <w:kern w:val="3"/>
          <w:sz w:val="24"/>
          <w:szCs w:val="24"/>
          <w:lang w:eastAsia="zh-CN" w:bidi="hi-IN"/>
        </w:rPr>
        <w:t xml:space="preserve">(2008) define a clientele effect a short-term occurrence where separate, independent investor groups face different expected returns for a range of reasons such as cost of capital, taxation, leverage, operating efficiency </w:t>
      </w:r>
      <w:r w:rsidR="0087039B" w:rsidRPr="00977958">
        <w:rPr>
          <w:rFonts w:ascii="Garamond" w:eastAsia="SimSun" w:hAnsi="Garamond" w:cs="Mangal"/>
          <w:i/>
          <w:kern w:val="3"/>
          <w:sz w:val="24"/>
          <w:szCs w:val="24"/>
          <w:lang w:eastAsia="zh-CN" w:bidi="hi-IN"/>
        </w:rPr>
        <w:t>inter alia</w:t>
      </w:r>
      <w:r w:rsidR="0087039B" w:rsidRPr="00977958">
        <w:rPr>
          <w:rFonts w:ascii="Garamond" w:eastAsia="SimSun" w:hAnsi="Garamond" w:cs="Mangal"/>
          <w:kern w:val="3"/>
          <w:sz w:val="24"/>
          <w:szCs w:val="24"/>
          <w:lang w:eastAsia="zh-CN" w:bidi="hi-IN"/>
        </w:rPr>
        <w:t>.  However, it is a short-term event that is ultimately self-correcting.  Further developing work by Hardin and Wolverton (1999) and Lambson</w:t>
      </w:r>
      <w:r w:rsidR="00C24F33" w:rsidRPr="00977958">
        <w:rPr>
          <w:rFonts w:ascii="Garamond" w:eastAsia="SimSun" w:hAnsi="Garamond" w:cs="Mangal"/>
          <w:kern w:val="3"/>
          <w:sz w:val="24"/>
          <w:szCs w:val="24"/>
          <w:lang w:eastAsia="zh-CN" w:bidi="hi-IN"/>
        </w:rPr>
        <w:t xml:space="preserve"> </w:t>
      </w:r>
      <w:r w:rsidR="00C24F33" w:rsidRPr="00977958">
        <w:rPr>
          <w:rFonts w:ascii="Garamond" w:eastAsia="SimSun" w:hAnsi="Garamond" w:cs="Mangal"/>
          <w:i/>
          <w:kern w:val="3"/>
          <w:sz w:val="24"/>
          <w:szCs w:val="24"/>
          <w:lang w:eastAsia="zh-CN" w:bidi="hi-IN"/>
        </w:rPr>
        <w:t>et al.</w:t>
      </w:r>
      <w:r w:rsidR="0087039B" w:rsidRPr="00977958">
        <w:rPr>
          <w:rFonts w:ascii="Garamond" w:eastAsia="SimSun" w:hAnsi="Garamond" w:cs="Mangal"/>
          <w:kern w:val="3"/>
          <w:sz w:val="24"/>
          <w:szCs w:val="24"/>
          <w:lang w:eastAsia="zh-CN" w:bidi="hi-IN"/>
        </w:rPr>
        <w:t xml:space="preserve"> (2004) and drawing upon a much larger sample of transactions, Ling and Petrova (2010) find evidence that tax-motivated, out-of-state and REITs buyers pay significantly more than in-state buyers.  In a recent paper, Akin </w:t>
      </w:r>
      <w:r w:rsidR="0087039B" w:rsidRPr="00977958">
        <w:rPr>
          <w:rFonts w:ascii="Garamond" w:eastAsia="SimSun" w:hAnsi="Garamond" w:cs="Mangal"/>
          <w:i/>
          <w:kern w:val="3"/>
          <w:sz w:val="24"/>
          <w:szCs w:val="24"/>
          <w:lang w:eastAsia="zh-CN" w:bidi="hi-IN"/>
        </w:rPr>
        <w:t>et al</w:t>
      </w:r>
      <w:r w:rsidR="00977958" w:rsidRPr="00977958">
        <w:rPr>
          <w:rFonts w:ascii="Garamond" w:eastAsia="SimSun" w:hAnsi="Garamond" w:cs="Mangal"/>
          <w:i/>
          <w:kern w:val="3"/>
          <w:sz w:val="24"/>
          <w:szCs w:val="24"/>
          <w:lang w:eastAsia="zh-CN" w:bidi="hi-IN"/>
        </w:rPr>
        <w:t>.</w:t>
      </w:r>
      <w:r w:rsidR="0087039B" w:rsidRPr="00977958">
        <w:rPr>
          <w:rFonts w:ascii="Garamond" w:eastAsia="SimSun" w:hAnsi="Garamond" w:cs="Mangal"/>
          <w:kern w:val="3"/>
          <w:sz w:val="24"/>
          <w:szCs w:val="24"/>
          <w:lang w:eastAsia="zh-CN" w:bidi="hi-IN"/>
        </w:rPr>
        <w:t xml:space="preserve"> (2013) looked at similar issues. However, in order to control for unobserved explanatory variables (the premium property </w:t>
      </w:r>
      <w:r w:rsidR="0087039B" w:rsidRPr="00977958">
        <w:rPr>
          <w:rFonts w:ascii="Garamond" w:eastAsia="SimSun" w:hAnsi="Garamond" w:cs="Mangal"/>
          <w:kern w:val="3"/>
          <w:sz w:val="24"/>
          <w:szCs w:val="24"/>
          <w:lang w:eastAsia="zh-CN" w:bidi="hi-IN"/>
        </w:rPr>
        <w:lastRenderedPageBreak/>
        <w:t>explanation) associated with, what they suggest are, implausible price premiums, they also analyze a subsample of repeat sales transactions. Using this type of approach, they estimate REIT premiums of 6% compared to the 20%-50% premiums estimated in their hedonic regression models. This premium is attributed to the incentives for REITs to deploy capital quickly and their capital access advantages. However, broad location controls in their hedonic estimation are likely t</w:t>
      </w:r>
      <w:r w:rsidR="00D135B1" w:rsidRPr="00977958">
        <w:rPr>
          <w:rFonts w:ascii="Garamond" w:eastAsia="SimSun" w:hAnsi="Garamond" w:cs="Mangal"/>
          <w:kern w:val="3"/>
          <w:sz w:val="24"/>
          <w:szCs w:val="24"/>
          <w:lang w:eastAsia="zh-CN" w:bidi="hi-IN"/>
        </w:rPr>
        <w:t>o account for the potential mis-</w:t>
      </w:r>
      <w:r w:rsidR="0087039B" w:rsidRPr="00977958">
        <w:rPr>
          <w:rFonts w:ascii="Garamond" w:eastAsia="SimSun" w:hAnsi="Garamond" w:cs="Mangal"/>
          <w:kern w:val="3"/>
          <w:sz w:val="24"/>
          <w:szCs w:val="24"/>
          <w:lang w:eastAsia="zh-CN" w:bidi="hi-IN"/>
        </w:rPr>
        <w:t>estimation of the premium in the hedonic estimation. Further, Chinloy</w:t>
      </w:r>
      <w:r w:rsidR="00C24F33" w:rsidRPr="00977958">
        <w:rPr>
          <w:rFonts w:ascii="Garamond" w:eastAsia="SimSun" w:hAnsi="Garamond" w:cs="Mangal"/>
          <w:kern w:val="3"/>
          <w:sz w:val="24"/>
          <w:szCs w:val="24"/>
          <w:lang w:eastAsia="zh-CN" w:bidi="hi-IN"/>
        </w:rPr>
        <w:t xml:space="preserve"> </w:t>
      </w:r>
      <w:r w:rsidR="00C24F33" w:rsidRPr="00977958">
        <w:rPr>
          <w:rFonts w:ascii="Garamond" w:eastAsia="SimSun" w:hAnsi="Garamond" w:cs="Mangal"/>
          <w:i/>
          <w:kern w:val="3"/>
          <w:sz w:val="24"/>
          <w:szCs w:val="24"/>
          <w:lang w:eastAsia="zh-CN" w:bidi="hi-IN"/>
        </w:rPr>
        <w:t>et al.</w:t>
      </w:r>
      <w:r w:rsidR="0087039B" w:rsidRPr="00977958">
        <w:rPr>
          <w:rFonts w:ascii="Garamond" w:eastAsia="SimSun" w:hAnsi="Garamond" w:cs="Mangal"/>
          <w:kern w:val="3"/>
          <w:sz w:val="24"/>
          <w:szCs w:val="24"/>
          <w:lang w:eastAsia="zh-CN" w:bidi="hi-IN"/>
        </w:rPr>
        <w:t xml:space="preserve"> (2013) identify selection bias issues with repeatedly sold properties. </w:t>
      </w:r>
      <w:r w:rsidRPr="00977958">
        <w:rPr>
          <w:rFonts w:ascii="Garamond" w:hAnsi="Garamond"/>
          <w:sz w:val="24"/>
          <w:szCs w:val="24"/>
          <w:lang w:val="en-US"/>
        </w:rPr>
        <w:t>It is the effects on prices of the presence of a specific type of investor – foreign, international or non-domestic investors that is the focus of this research.</w:t>
      </w:r>
    </w:p>
    <w:p w:rsidR="00A64F39" w:rsidRPr="00977958" w:rsidRDefault="00A64F39" w:rsidP="00C97437">
      <w:pPr>
        <w:pStyle w:val="NoSpacing"/>
        <w:spacing w:line="360" w:lineRule="auto"/>
        <w:jc w:val="both"/>
        <w:rPr>
          <w:rFonts w:ascii="Garamond" w:hAnsi="Garamond"/>
          <w:sz w:val="24"/>
          <w:szCs w:val="24"/>
          <w:lang w:val="en-US"/>
        </w:rPr>
      </w:pPr>
    </w:p>
    <w:p w:rsidR="00A64F39" w:rsidRPr="00977958" w:rsidRDefault="00A64F39" w:rsidP="00C97437">
      <w:pPr>
        <w:pStyle w:val="NoSpacing"/>
        <w:spacing w:line="360" w:lineRule="auto"/>
        <w:jc w:val="both"/>
        <w:rPr>
          <w:rFonts w:ascii="Garamond" w:hAnsi="Garamond"/>
          <w:sz w:val="24"/>
          <w:szCs w:val="24"/>
        </w:rPr>
      </w:pPr>
      <w:r w:rsidRPr="00977958">
        <w:rPr>
          <w:rFonts w:ascii="Garamond" w:hAnsi="Garamond"/>
          <w:sz w:val="24"/>
          <w:szCs w:val="24"/>
        </w:rPr>
        <w:t xml:space="preserve">In the capital markets, there </w:t>
      </w:r>
      <w:r w:rsidR="002C7DD6" w:rsidRPr="00977958">
        <w:rPr>
          <w:rFonts w:ascii="Garamond" w:hAnsi="Garamond"/>
          <w:sz w:val="24"/>
          <w:szCs w:val="24"/>
        </w:rPr>
        <w:t xml:space="preserve">is a </w:t>
      </w:r>
      <w:r w:rsidRPr="00977958">
        <w:rPr>
          <w:rFonts w:ascii="Garamond" w:hAnsi="Garamond"/>
          <w:sz w:val="24"/>
          <w:szCs w:val="24"/>
        </w:rPr>
        <w:t>large body of empirical testing the Wall Street maxim that it takes trading volume to make prices move</w:t>
      </w:r>
      <w:r w:rsidR="00A96750" w:rsidRPr="00977958">
        <w:rPr>
          <w:rFonts w:ascii="Garamond" w:hAnsi="Garamond"/>
          <w:sz w:val="24"/>
          <w:szCs w:val="24"/>
        </w:rPr>
        <w:t>.</w:t>
      </w:r>
      <w:r w:rsidRPr="00977958">
        <w:rPr>
          <w:rFonts w:ascii="Garamond" w:hAnsi="Garamond"/>
          <w:sz w:val="24"/>
          <w:szCs w:val="24"/>
        </w:rPr>
        <w:t xml:space="preserve">  Whilst a positive </w:t>
      </w:r>
      <w:r w:rsidRPr="00977958">
        <w:rPr>
          <w:rFonts w:ascii="Garamond" w:hAnsi="Garamond"/>
          <w:i/>
          <w:sz w:val="24"/>
          <w:szCs w:val="24"/>
        </w:rPr>
        <w:t xml:space="preserve">contemporaneous </w:t>
      </w:r>
      <w:r w:rsidRPr="00977958">
        <w:rPr>
          <w:rFonts w:ascii="Garamond" w:hAnsi="Garamond"/>
          <w:sz w:val="24"/>
          <w:szCs w:val="24"/>
        </w:rPr>
        <w:t>correlation between price changes and volume may be a stylized empirical fact, it is deba</w:t>
      </w:r>
      <w:r w:rsidR="00A96750" w:rsidRPr="00977958">
        <w:rPr>
          <w:rFonts w:ascii="Garamond" w:hAnsi="Garamond"/>
          <w:sz w:val="24"/>
          <w:szCs w:val="24"/>
        </w:rPr>
        <w:t>t</w:t>
      </w:r>
      <w:r w:rsidRPr="00977958">
        <w:rPr>
          <w:rFonts w:ascii="Garamond" w:hAnsi="Garamond"/>
          <w:sz w:val="24"/>
          <w:szCs w:val="24"/>
        </w:rPr>
        <w:t>eable whether there is a causal relationship (see Gallant</w:t>
      </w:r>
      <w:r w:rsidR="00C24F33" w:rsidRPr="00977958">
        <w:rPr>
          <w:rFonts w:ascii="Garamond" w:hAnsi="Garamond"/>
          <w:sz w:val="24"/>
          <w:szCs w:val="24"/>
        </w:rPr>
        <w:t xml:space="preserve"> </w:t>
      </w:r>
      <w:r w:rsidR="00C24F33" w:rsidRPr="00977958">
        <w:rPr>
          <w:rFonts w:ascii="Garamond" w:hAnsi="Garamond"/>
          <w:i/>
          <w:sz w:val="24"/>
          <w:szCs w:val="24"/>
        </w:rPr>
        <w:t>et al.</w:t>
      </w:r>
      <w:r w:rsidRPr="00977958">
        <w:rPr>
          <w:rFonts w:ascii="Garamond" w:hAnsi="Garamond"/>
          <w:sz w:val="24"/>
          <w:szCs w:val="24"/>
        </w:rPr>
        <w:t xml:space="preserve">, 1992). </w:t>
      </w:r>
      <w:r w:rsidR="00922BFA" w:rsidRPr="00977958">
        <w:rPr>
          <w:rFonts w:ascii="Garamond" w:hAnsi="Garamond"/>
          <w:sz w:val="24"/>
          <w:szCs w:val="24"/>
        </w:rPr>
        <w:t>This</w:t>
      </w:r>
      <w:r w:rsidRPr="00977958">
        <w:rPr>
          <w:rFonts w:ascii="Garamond" w:hAnsi="Garamond"/>
          <w:sz w:val="24"/>
          <w:szCs w:val="24"/>
        </w:rPr>
        <w:t xml:space="preserve"> contemporaneous positive relationship </w:t>
      </w:r>
      <w:r w:rsidR="00922BFA" w:rsidRPr="00977958">
        <w:rPr>
          <w:rFonts w:ascii="Garamond" w:hAnsi="Garamond"/>
          <w:sz w:val="24"/>
          <w:szCs w:val="24"/>
        </w:rPr>
        <w:t>may be due to the fact</w:t>
      </w:r>
      <w:r w:rsidRPr="00977958">
        <w:rPr>
          <w:rFonts w:ascii="Garamond" w:hAnsi="Garamond"/>
          <w:sz w:val="24"/>
          <w:szCs w:val="24"/>
        </w:rPr>
        <w:t xml:space="preserve"> that flows and returns are jointly dependent on common economic variables</w:t>
      </w:r>
      <w:r w:rsidR="008926CA" w:rsidRPr="00977958">
        <w:rPr>
          <w:rFonts w:ascii="Garamond" w:hAnsi="Garamond"/>
          <w:sz w:val="24"/>
          <w:szCs w:val="24"/>
        </w:rPr>
        <w:t xml:space="preserve">. </w:t>
      </w:r>
      <w:r w:rsidR="00922BFA" w:rsidRPr="00977958">
        <w:rPr>
          <w:rFonts w:ascii="Garamond" w:hAnsi="Garamond"/>
          <w:sz w:val="24"/>
          <w:szCs w:val="24"/>
        </w:rPr>
        <w:t xml:space="preserve">As stated below, this is also key issue in analysing the relationship between </w:t>
      </w:r>
      <w:r w:rsidR="000D5236" w:rsidRPr="00977958">
        <w:rPr>
          <w:rFonts w:ascii="Garamond" w:hAnsi="Garamond"/>
          <w:sz w:val="24"/>
          <w:szCs w:val="24"/>
        </w:rPr>
        <w:t>capitalization</w:t>
      </w:r>
      <w:r w:rsidR="00922BFA" w:rsidRPr="00977958">
        <w:rPr>
          <w:rFonts w:ascii="Garamond" w:hAnsi="Garamond"/>
          <w:sz w:val="24"/>
          <w:szCs w:val="24"/>
        </w:rPr>
        <w:t xml:space="preserve"> rate and foreign investment. </w:t>
      </w:r>
    </w:p>
    <w:p w:rsidR="00A64F39" w:rsidRPr="00977958" w:rsidRDefault="00A64F39" w:rsidP="00C97437">
      <w:pPr>
        <w:pStyle w:val="NoSpacing"/>
        <w:spacing w:line="360" w:lineRule="auto"/>
        <w:jc w:val="both"/>
        <w:rPr>
          <w:rFonts w:ascii="Garamond" w:hAnsi="Garamond"/>
          <w:sz w:val="24"/>
          <w:szCs w:val="24"/>
        </w:rPr>
      </w:pPr>
    </w:p>
    <w:p w:rsidR="00A64F39" w:rsidRPr="00977958" w:rsidRDefault="002C7DD6" w:rsidP="00C97437">
      <w:pPr>
        <w:pStyle w:val="NoSpacing"/>
        <w:spacing w:line="360" w:lineRule="auto"/>
        <w:jc w:val="both"/>
        <w:rPr>
          <w:rFonts w:ascii="Garamond" w:hAnsi="Garamond"/>
          <w:sz w:val="24"/>
          <w:szCs w:val="24"/>
        </w:rPr>
      </w:pPr>
      <w:r w:rsidRPr="00977958">
        <w:rPr>
          <w:rFonts w:ascii="Garamond" w:hAnsi="Garamond"/>
          <w:sz w:val="24"/>
          <w:szCs w:val="24"/>
        </w:rPr>
        <w:t>In the real e</w:t>
      </w:r>
      <w:r w:rsidR="00015C53" w:rsidRPr="00977958">
        <w:rPr>
          <w:rFonts w:ascii="Garamond" w:hAnsi="Garamond"/>
          <w:sz w:val="24"/>
          <w:szCs w:val="24"/>
        </w:rPr>
        <w:t>state literature, the results of</w:t>
      </w:r>
      <w:r w:rsidRPr="00977958">
        <w:rPr>
          <w:rFonts w:ascii="Garamond" w:hAnsi="Garamond"/>
          <w:sz w:val="24"/>
          <w:szCs w:val="24"/>
        </w:rPr>
        <w:t xml:space="preserve"> empirical work on </w:t>
      </w:r>
      <w:r w:rsidR="00015C53" w:rsidRPr="00977958">
        <w:rPr>
          <w:rFonts w:ascii="Garamond" w:hAnsi="Garamond"/>
          <w:sz w:val="24"/>
          <w:szCs w:val="24"/>
        </w:rPr>
        <w:t xml:space="preserve">the </w:t>
      </w:r>
      <w:r w:rsidRPr="00977958">
        <w:rPr>
          <w:rFonts w:ascii="Garamond" w:hAnsi="Garamond"/>
          <w:sz w:val="24"/>
          <w:szCs w:val="24"/>
        </w:rPr>
        <w:t>investment flow</w:t>
      </w:r>
      <w:r w:rsidR="0087039B" w:rsidRPr="00977958">
        <w:rPr>
          <w:rFonts w:ascii="Garamond" w:hAnsi="Garamond"/>
          <w:sz w:val="24"/>
          <w:szCs w:val="24"/>
        </w:rPr>
        <w:t xml:space="preserve"> </w:t>
      </w:r>
      <w:r w:rsidRPr="00977958">
        <w:rPr>
          <w:rFonts w:ascii="Garamond" w:hAnsi="Garamond"/>
          <w:sz w:val="24"/>
          <w:szCs w:val="24"/>
        </w:rPr>
        <w:t>↔</w:t>
      </w:r>
      <w:r w:rsidR="0087039B" w:rsidRPr="00977958">
        <w:rPr>
          <w:rFonts w:ascii="Garamond" w:hAnsi="Garamond"/>
          <w:sz w:val="24"/>
          <w:szCs w:val="24"/>
        </w:rPr>
        <w:t xml:space="preserve"> </w:t>
      </w:r>
      <w:r w:rsidR="00F14390" w:rsidRPr="00977958">
        <w:rPr>
          <w:rFonts w:ascii="Garamond" w:hAnsi="Garamond"/>
          <w:sz w:val="24"/>
          <w:szCs w:val="24"/>
        </w:rPr>
        <w:t>return</w:t>
      </w:r>
      <w:r w:rsidR="00015C53" w:rsidRPr="00977958">
        <w:rPr>
          <w:rFonts w:ascii="Garamond" w:hAnsi="Garamond"/>
          <w:sz w:val="24"/>
          <w:szCs w:val="24"/>
        </w:rPr>
        <w:t xml:space="preserve"> relationship</w:t>
      </w:r>
      <w:r w:rsidR="0087039B" w:rsidRPr="00977958">
        <w:rPr>
          <w:rFonts w:ascii="Garamond" w:hAnsi="Garamond"/>
          <w:sz w:val="24"/>
          <w:szCs w:val="24"/>
        </w:rPr>
        <w:t>s</w:t>
      </w:r>
      <w:r w:rsidRPr="00977958">
        <w:rPr>
          <w:rFonts w:ascii="Garamond" w:hAnsi="Garamond"/>
          <w:sz w:val="24"/>
          <w:szCs w:val="24"/>
        </w:rPr>
        <w:t xml:space="preserve"> </w:t>
      </w:r>
      <w:r w:rsidR="00F14390" w:rsidRPr="00977958">
        <w:rPr>
          <w:rFonts w:ascii="Garamond" w:hAnsi="Garamond"/>
          <w:sz w:val="24"/>
          <w:szCs w:val="24"/>
        </w:rPr>
        <w:t>are</w:t>
      </w:r>
      <w:r w:rsidRPr="00977958">
        <w:rPr>
          <w:rFonts w:ascii="Garamond" w:hAnsi="Garamond"/>
          <w:sz w:val="24"/>
          <w:szCs w:val="24"/>
        </w:rPr>
        <w:t xml:space="preserve"> mixed</w:t>
      </w:r>
      <w:r w:rsidR="008926CA" w:rsidRPr="00977958">
        <w:rPr>
          <w:rFonts w:ascii="Garamond" w:hAnsi="Garamond"/>
          <w:sz w:val="24"/>
          <w:szCs w:val="24"/>
        </w:rPr>
        <w:t xml:space="preserve">. </w:t>
      </w:r>
      <w:r w:rsidR="00A96750" w:rsidRPr="00977958">
        <w:rPr>
          <w:rFonts w:ascii="Garamond" w:hAnsi="Garamond"/>
          <w:sz w:val="24"/>
          <w:szCs w:val="24"/>
        </w:rPr>
        <w:t>Fisher</w:t>
      </w:r>
      <w:r w:rsidR="00C24F33" w:rsidRPr="00977958">
        <w:rPr>
          <w:rFonts w:ascii="Garamond" w:hAnsi="Garamond"/>
          <w:sz w:val="24"/>
          <w:szCs w:val="24"/>
        </w:rPr>
        <w:t xml:space="preserve"> </w:t>
      </w:r>
      <w:r w:rsidR="00C24F33" w:rsidRPr="00977958">
        <w:rPr>
          <w:rFonts w:ascii="Garamond" w:hAnsi="Garamond"/>
          <w:i/>
          <w:sz w:val="24"/>
          <w:szCs w:val="24"/>
        </w:rPr>
        <w:t>et al.</w:t>
      </w:r>
      <w:r w:rsidR="00A96750" w:rsidRPr="00977958">
        <w:rPr>
          <w:rFonts w:ascii="Garamond" w:hAnsi="Garamond"/>
          <w:sz w:val="24"/>
          <w:szCs w:val="24"/>
        </w:rPr>
        <w:t xml:space="preserve"> (2007) examine whether net capital flows from institutional to non-institutional investors</w:t>
      </w:r>
      <w:r w:rsidR="00D135B1" w:rsidRPr="00977958">
        <w:rPr>
          <w:rFonts w:ascii="Garamond" w:hAnsi="Garamond"/>
          <w:sz w:val="24"/>
          <w:szCs w:val="24"/>
        </w:rPr>
        <w:t>’</w:t>
      </w:r>
      <w:r w:rsidR="00A96750" w:rsidRPr="00977958">
        <w:rPr>
          <w:rFonts w:ascii="Garamond" w:hAnsi="Garamond"/>
          <w:sz w:val="24"/>
          <w:szCs w:val="24"/>
        </w:rPr>
        <w:t xml:space="preserve"> impact </w:t>
      </w:r>
      <w:r w:rsidR="00F14390" w:rsidRPr="00977958">
        <w:rPr>
          <w:rFonts w:ascii="Garamond" w:hAnsi="Garamond"/>
          <w:sz w:val="24"/>
          <w:szCs w:val="24"/>
        </w:rPr>
        <w:t xml:space="preserve">upon </w:t>
      </w:r>
      <w:r w:rsidR="00A96750" w:rsidRPr="00977958">
        <w:rPr>
          <w:rFonts w:ascii="Garamond" w:hAnsi="Garamond"/>
          <w:sz w:val="24"/>
          <w:szCs w:val="24"/>
        </w:rPr>
        <w:t>asset prices and returns in a cross-section of U</w:t>
      </w:r>
      <w:r w:rsidR="00F14390" w:rsidRPr="00977958">
        <w:rPr>
          <w:rFonts w:ascii="Garamond" w:hAnsi="Garamond"/>
          <w:sz w:val="24"/>
          <w:szCs w:val="24"/>
        </w:rPr>
        <w:t>.</w:t>
      </w:r>
      <w:r w:rsidR="00A96750" w:rsidRPr="00977958">
        <w:rPr>
          <w:rFonts w:ascii="Garamond" w:hAnsi="Garamond"/>
          <w:sz w:val="24"/>
          <w:szCs w:val="24"/>
        </w:rPr>
        <w:t>S</w:t>
      </w:r>
      <w:r w:rsidR="00F14390" w:rsidRPr="00977958">
        <w:rPr>
          <w:rFonts w:ascii="Garamond" w:hAnsi="Garamond"/>
          <w:sz w:val="24"/>
          <w:szCs w:val="24"/>
        </w:rPr>
        <w:t>.</w:t>
      </w:r>
      <w:r w:rsidR="00A96750" w:rsidRPr="00977958">
        <w:rPr>
          <w:rFonts w:ascii="Garamond" w:hAnsi="Garamond"/>
          <w:sz w:val="24"/>
          <w:szCs w:val="24"/>
        </w:rPr>
        <w:t xml:space="preserve"> </w:t>
      </w:r>
      <w:r w:rsidR="00F14390" w:rsidRPr="00977958">
        <w:rPr>
          <w:rFonts w:ascii="Garamond" w:hAnsi="Garamond"/>
          <w:sz w:val="24"/>
          <w:szCs w:val="24"/>
        </w:rPr>
        <w:t>real estate</w:t>
      </w:r>
      <w:r w:rsidR="00A96750" w:rsidRPr="00977958">
        <w:rPr>
          <w:rFonts w:ascii="Garamond" w:hAnsi="Garamond"/>
          <w:sz w:val="24"/>
          <w:szCs w:val="24"/>
        </w:rPr>
        <w:t xml:space="preserve"> sectors and geographic markets. At the aggregate U</w:t>
      </w:r>
      <w:r w:rsidR="00F14390" w:rsidRPr="00977958">
        <w:rPr>
          <w:rFonts w:ascii="Garamond" w:hAnsi="Garamond"/>
          <w:sz w:val="24"/>
          <w:szCs w:val="24"/>
        </w:rPr>
        <w:t>.</w:t>
      </w:r>
      <w:r w:rsidR="00A96750" w:rsidRPr="00977958">
        <w:rPr>
          <w:rFonts w:ascii="Garamond" w:hAnsi="Garamond"/>
          <w:sz w:val="24"/>
          <w:szCs w:val="24"/>
        </w:rPr>
        <w:t>S</w:t>
      </w:r>
      <w:r w:rsidR="00F14390" w:rsidRPr="00977958">
        <w:rPr>
          <w:rFonts w:ascii="Garamond" w:hAnsi="Garamond"/>
          <w:sz w:val="24"/>
          <w:szCs w:val="24"/>
        </w:rPr>
        <w:t>.</w:t>
      </w:r>
      <w:r w:rsidR="00A96750" w:rsidRPr="00977958">
        <w:rPr>
          <w:rFonts w:ascii="Garamond" w:hAnsi="Garamond"/>
          <w:sz w:val="24"/>
          <w:szCs w:val="24"/>
        </w:rPr>
        <w:t xml:space="preserve"> level, they find evidence that institutional capital flows have a statistically and economically significant association with subsequent returns</w:t>
      </w:r>
      <w:r w:rsidR="008926CA" w:rsidRPr="00977958">
        <w:rPr>
          <w:rFonts w:ascii="Garamond" w:hAnsi="Garamond"/>
          <w:sz w:val="24"/>
          <w:szCs w:val="24"/>
        </w:rPr>
        <w:t xml:space="preserve">. </w:t>
      </w:r>
      <w:r w:rsidR="00A96750" w:rsidRPr="00977958">
        <w:rPr>
          <w:rFonts w:ascii="Garamond" w:hAnsi="Garamond"/>
          <w:sz w:val="24"/>
          <w:szCs w:val="24"/>
        </w:rPr>
        <w:t>However, the results are not consistent amongst sector or CBSAs</w:t>
      </w:r>
      <w:r w:rsidR="008926CA" w:rsidRPr="00977958">
        <w:rPr>
          <w:rFonts w:ascii="Garamond" w:hAnsi="Garamond"/>
          <w:sz w:val="24"/>
          <w:szCs w:val="24"/>
        </w:rPr>
        <w:t xml:space="preserve">. </w:t>
      </w:r>
      <w:r w:rsidR="00A96750" w:rsidRPr="00977958">
        <w:rPr>
          <w:rFonts w:ascii="Garamond" w:hAnsi="Garamond"/>
          <w:sz w:val="24"/>
          <w:szCs w:val="24"/>
        </w:rPr>
        <w:t>Applying a similar methodology to UK data, Ling</w:t>
      </w:r>
      <w:r w:rsidR="00C24F33" w:rsidRPr="00977958">
        <w:rPr>
          <w:rFonts w:ascii="Garamond" w:hAnsi="Garamond"/>
          <w:sz w:val="24"/>
          <w:szCs w:val="24"/>
        </w:rPr>
        <w:t xml:space="preserve"> </w:t>
      </w:r>
      <w:r w:rsidR="00C24F33" w:rsidRPr="00977958">
        <w:rPr>
          <w:rFonts w:ascii="Garamond" w:hAnsi="Garamond"/>
          <w:i/>
          <w:sz w:val="24"/>
          <w:szCs w:val="24"/>
        </w:rPr>
        <w:t>et al.</w:t>
      </w:r>
      <w:r w:rsidR="00A96750" w:rsidRPr="00977958">
        <w:rPr>
          <w:rFonts w:ascii="Garamond" w:hAnsi="Garamond"/>
          <w:sz w:val="24"/>
          <w:szCs w:val="24"/>
        </w:rPr>
        <w:t xml:space="preserve"> (2009) do not find any evidence to support a ‘price pressure’ effect</w:t>
      </w:r>
      <w:r w:rsidR="008926CA" w:rsidRPr="00977958">
        <w:rPr>
          <w:rFonts w:ascii="Garamond" w:hAnsi="Garamond"/>
          <w:sz w:val="24"/>
          <w:szCs w:val="24"/>
        </w:rPr>
        <w:t xml:space="preserve">. </w:t>
      </w:r>
      <w:r w:rsidR="00D10CCF" w:rsidRPr="00977958">
        <w:rPr>
          <w:rFonts w:ascii="Garamond" w:hAnsi="Garamond"/>
          <w:sz w:val="24"/>
          <w:szCs w:val="24"/>
        </w:rPr>
        <w:t>Beyond commercial real estate, similar findings have been reported by b</w:t>
      </w:r>
      <w:r w:rsidR="00A64F39" w:rsidRPr="00977958">
        <w:rPr>
          <w:rFonts w:ascii="Garamond" w:hAnsi="Garamond"/>
          <w:sz w:val="24"/>
          <w:szCs w:val="24"/>
        </w:rPr>
        <w:t>oth Stein (1995) an</w:t>
      </w:r>
      <w:r w:rsidR="00D10CCF" w:rsidRPr="00977958">
        <w:rPr>
          <w:rFonts w:ascii="Garamond" w:hAnsi="Garamond"/>
          <w:sz w:val="24"/>
          <w:szCs w:val="24"/>
        </w:rPr>
        <w:t>d Cauley and Pavlov (2005) who focus</w:t>
      </w:r>
      <w:r w:rsidR="00A64F39" w:rsidRPr="00977958">
        <w:rPr>
          <w:rFonts w:ascii="Garamond" w:hAnsi="Garamond"/>
          <w:sz w:val="24"/>
          <w:szCs w:val="24"/>
        </w:rPr>
        <w:t xml:space="preserve"> on the relationship between price changes and trading volume in US housing markets</w:t>
      </w:r>
      <w:r w:rsidR="008926CA" w:rsidRPr="00977958">
        <w:rPr>
          <w:rFonts w:ascii="Garamond" w:hAnsi="Garamond"/>
          <w:sz w:val="24"/>
          <w:szCs w:val="24"/>
        </w:rPr>
        <w:t xml:space="preserve">. </w:t>
      </w:r>
      <w:r w:rsidR="00A64F39" w:rsidRPr="00977958">
        <w:rPr>
          <w:rFonts w:ascii="Garamond" w:hAnsi="Garamond"/>
          <w:sz w:val="24"/>
          <w:szCs w:val="24"/>
        </w:rPr>
        <w:t>They investigate the stylized fact that trading volumes tend to fall when house prices are falling and that rising prices tend to be associated with increases in transaction activity</w:t>
      </w:r>
      <w:r w:rsidR="008926CA" w:rsidRPr="00977958">
        <w:rPr>
          <w:rFonts w:ascii="Garamond" w:hAnsi="Garamond"/>
          <w:sz w:val="24"/>
          <w:szCs w:val="24"/>
        </w:rPr>
        <w:t xml:space="preserve">. </w:t>
      </w:r>
      <w:r w:rsidR="00A64F39" w:rsidRPr="00977958">
        <w:rPr>
          <w:rFonts w:ascii="Garamond" w:hAnsi="Garamond"/>
          <w:sz w:val="24"/>
          <w:szCs w:val="24"/>
        </w:rPr>
        <w:t>Both papers suggest a contemporaneous and self</w:t>
      </w:r>
      <w:r w:rsidR="00CE1BE6" w:rsidRPr="00977958">
        <w:rPr>
          <w:rFonts w:ascii="Garamond" w:hAnsi="Garamond"/>
          <w:sz w:val="24"/>
          <w:szCs w:val="24"/>
        </w:rPr>
        <w:t>-</w:t>
      </w:r>
      <w:r w:rsidR="00A64F39" w:rsidRPr="00977958">
        <w:rPr>
          <w:rFonts w:ascii="Garamond" w:hAnsi="Garamond"/>
          <w:sz w:val="24"/>
          <w:szCs w:val="24"/>
        </w:rPr>
        <w:t>reinforcing relationship between prices and trading volume generated by exogenous demand shocks</w:t>
      </w:r>
      <w:r w:rsidR="008926CA" w:rsidRPr="00977958">
        <w:rPr>
          <w:rFonts w:ascii="Garamond" w:hAnsi="Garamond"/>
          <w:sz w:val="24"/>
          <w:szCs w:val="24"/>
        </w:rPr>
        <w:t xml:space="preserve">. </w:t>
      </w:r>
    </w:p>
    <w:p w:rsidR="00A64F39" w:rsidRPr="00977958" w:rsidRDefault="00A64F39" w:rsidP="00C97437">
      <w:pPr>
        <w:pStyle w:val="NoSpacing"/>
        <w:spacing w:line="360" w:lineRule="auto"/>
        <w:jc w:val="both"/>
        <w:rPr>
          <w:rFonts w:ascii="Garamond" w:hAnsi="Garamond"/>
          <w:sz w:val="24"/>
          <w:szCs w:val="24"/>
        </w:rPr>
      </w:pPr>
    </w:p>
    <w:p w:rsidR="00AF2E79" w:rsidRPr="00977958" w:rsidRDefault="009E3CE5" w:rsidP="00C97437">
      <w:pPr>
        <w:pStyle w:val="NoSpacing"/>
        <w:spacing w:line="360" w:lineRule="auto"/>
        <w:jc w:val="both"/>
        <w:rPr>
          <w:rFonts w:ascii="Garamond" w:hAnsi="Garamond"/>
          <w:sz w:val="24"/>
          <w:szCs w:val="24"/>
        </w:rPr>
      </w:pPr>
      <w:r w:rsidRPr="00977958">
        <w:rPr>
          <w:rFonts w:ascii="Garamond" w:hAnsi="Garamond"/>
          <w:sz w:val="24"/>
          <w:szCs w:val="24"/>
        </w:rPr>
        <w:lastRenderedPageBreak/>
        <w:t>I</w:t>
      </w:r>
      <w:r w:rsidR="00A64F39" w:rsidRPr="00977958">
        <w:rPr>
          <w:rFonts w:ascii="Garamond" w:hAnsi="Garamond"/>
          <w:sz w:val="24"/>
          <w:szCs w:val="24"/>
        </w:rPr>
        <w:t xml:space="preserve">t is </w:t>
      </w:r>
      <w:r w:rsidRPr="00977958">
        <w:rPr>
          <w:rFonts w:ascii="Garamond" w:hAnsi="Garamond"/>
          <w:sz w:val="24"/>
          <w:szCs w:val="24"/>
        </w:rPr>
        <w:t xml:space="preserve">also </w:t>
      </w:r>
      <w:r w:rsidR="00A64F39" w:rsidRPr="00977958">
        <w:rPr>
          <w:rFonts w:ascii="Garamond" w:hAnsi="Garamond"/>
          <w:sz w:val="24"/>
          <w:szCs w:val="24"/>
        </w:rPr>
        <w:t xml:space="preserve">notable </w:t>
      </w:r>
      <w:r w:rsidR="00B92C93" w:rsidRPr="00977958">
        <w:rPr>
          <w:rFonts w:ascii="Garamond" w:hAnsi="Garamond"/>
          <w:sz w:val="24"/>
          <w:szCs w:val="24"/>
        </w:rPr>
        <w:t xml:space="preserve">that </w:t>
      </w:r>
      <w:r w:rsidR="00A64F39" w:rsidRPr="00977958">
        <w:rPr>
          <w:rFonts w:ascii="Garamond" w:hAnsi="Garamond"/>
          <w:sz w:val="24"/>
          <w:szCs w:val="24"/>
        </w:rPr>
        <w:t>the</w:t>
      </w:r>
      <w:r w:rsidR="00B92C93" w:rsidRPr="00977958">
        <w:rPr>
          <w:rFonts w:ascii="Garamond" w:hAnsi="Garamond"/>
          <w:sz w:val="24"/>
          <w:szCs w:val="24"/>
        </w:rPr>
        <w:t xml:space="preserve"> </w:t>
      </w:r>
      <w:r w:rsidR="00A64F39" w:rsidRPr="00977958">
        <w:rPr>
          <w:rFonts w:ascii="Garamond" w:hAnsi="Garamond"/>
          <w:sz w:val="24"/>
          <w:szCs w:val="24"/>
        </w:rPr>
        <w:t>body of academic work on the determinants of capitalization rates is largely silent on the effect of capital flows (see Sivitanidou and Sivitanides, 1999</w:t>
      </w:r>
      <w:r w:rsidR="00B92C93" w:rsidRPr="00977958">
        <w:rPr>
          <w:rFonts w:ascii="Garamond" w:hAnsi="Garamond"/>
          <w:sz w:val="24"/>
          <w:szCs w:val="24"/>
        </w:rPr>
        <w:t>;</w:t>
      </w:r>
      <w:r w:rsidR="00A64F39" w:rsidRPr="00977958">
        <w:rPr>
          <w:rFonts w:ascii="Garamond" w:hAnsi="Garamond"/>
          <w:sz w:val="24"/>
          <w:szCs w:val="24"/>
        </w:rPr>
        <w:t xml:space="preserve"> Ambrose and Nourse, 1993</w:t>
      </w:r>
      <w:r w:rsidR="00B92C93" w:rsidRPr="00977958">
        <w:rPr>
          <w:rFonts w:ascii="Garamond" w:hAnsi="Garamond"/>
          <w:sz w:val="24"/>
          <w:szCs w:val="24"/>
        </w:rPr>
        <w:t>;</w:t>
      </w:r>
      <w:r w:rsidR="00A64F39" w:rsidRPr="00977958">
        <w:rPr>
          <w:rFonts w:ascii="Garamond" w:hAnsi="Garamond"/>
          <w:sz w:val="24"/>
          <w:szCs w:val="24"/>
        </w:rPr>
        <w:t xml:space="preserve"> Chen</w:t>
      </w:r>
      <w:r w:rsidR="00123673" w:rsidRPr="00977958">
        <w:rPr>
          <w:rFonts w:ascii="Garamond" w:hAnsi="Garamond"/>
          <w:sz w:val="24"/>
          <w:szCs w:val="24"/>
        </w:rPr>
        <w:t xml:space="preserve"> </w:t>
      </w:r>
      <w:r w:rsidR="00123673" w:rsidRPr="00977958">
        <w:rPr>
          <w:rFonts w:ascii="Garamond" w:hAnsi="Garamond"/>
          <w:i/>
          <w:sz w:val="24"/>
          <w:szCs w:val="24"/>
        </w:rPr>
        <w:t>et al.</w:t>
      </w:r>
      <w:r w:rsidR="00A64F39" w:rsidRPr="00977958">
        <w:rPr>
          <w:rFonts w:ascii="Garamond" w:hAnsi="Garamond"/>
          <w:sz w:val="24"/>
          <w:szCs w:val="24"/>
        </w:rPr>
        <w:t>, 2004</w:t>
      </w:r>
      <w:r w:rsidR="00B92C93" w:rsidRPr="00977958">
        <w:rPr>
          <w:rFonts w:ascii="Garamond" w:hAnsi="Garamond"/>
          <w:sz w:val="24"/>
          <w:szCs w:val="24"/>
        </w:rPr>
        <w:t xml:space="preserve">; </w:t>
      </w:r>
      <w:r w:rsidR="007C3A4D" w:rsidRPr="00977958">
        <w:rPr>
          <w:rFonts w:ascii="Garamond" w:hAnsi="Garamond"/>
          <w:sz w:val="24"/>
          <w:szCs w:val="24"/>
        </w:rPr>
        <w:t>Chervachidze</w:t>
      </w:r>
      <w:r w:rsidR="00C24F33" w:rsidRPr="00977958">
        <w:rPr>
          <w:rFonts w:ascii="Garamond" w:hAnsi="Garamond"/>
          <w:sz w:val="24"/>
          <w:szCs w:val="24"/>
        </w:rPr>
        <w:t xml:space="preserve"> </w:t>
      </w:r>
      <w:r w:rsidR="00C24F33" w:rsidRPr="00977958">
        <w:rPr>
          <w:rFonts w:ascii="Garamond" w:hAnsi="Garamond"/>
          <w:i/>
          <w:sz w:val="24"/>
          <w:szCs w:val="24"/>
        </w:rPr>
        <w:t>et al.</w:t>
      </w:r>
      <w:r w:rsidR="007C3A4D" w:rsidRPr="00977958">
        <w:rPr>
          <w:rFonts w:ascii="Garamond" w:hAnsi="Garamond"/>
          <w:sz w:val="24"/>
          <w:szCs w:val="24"/>
        </w:rPr>
        <w:t>, 2009</w:t>
      </w:r>
      <w:r w:rsidR="00123673" w:rsidRPr="00977958">
        <w:rPr>
          <w:rFonts w:ascii="Garamond" w:hAnsi="Garamond"/>
          <w:sz w:val="24"/>
          <w:szCs w:val="24"/>
        </w:rPr>
        <w:t xml:space="preserve">; Chichernea </w:t>
      </w:r>
      <w:r w:rsidR="00123673" w:rsidRPr="00977958">
        <w:rPr>
          <w:rFonts w:ascii="Garamond" w:hAnsi="Garamond"/>
          <w:i/>
          <w:sz w:val="24"/>
          <w:szCs w:val="24"/>
        </w:rPr>
        <w:t>et al.</w:t>
      </w:r>
      <w:r w:rsidR="00123673" w:rsidRPr="00977958">
        <w:rPr>
          <w:rFonts w:ascii="Garamond" w:hAnsi="Garamond"/>
          <w:sz w:val="24"/>
          <w:szCs w:val="24"/>
        </w:rPr>
        <w:t>, 2008</w:t>
      </w:r>
      <w:r w:rsidR="002C7DD6" w:rsidRPr="00977958">
        <w:rPr>
          <w:rFonts w:ascii="Garamond" w:hAnsi="Garamond"/>
          <w:sz w:val="24"/>
          <w:szCs w:val="24"/>
        </w:rPr>
        <w:t>)</w:t>
      </w:r>
      <w:r w:rsidR="008926CA" w:rsidRPr="00977958">
        <w:rPr>
          <w:rFonts w:ascii="Garamond" w:hAnsi="Garamond"/>
          <w:sz w:val="24"/>
          <w:szCs w:val="24"/>
        </w:rPr>
        <w:t xml:space="preserve">. </w:t>
      </w:r>
      <w:r w:rsidR="002C7DD6" w:rsidRPr="00977958">
        <w:rPr>
          <w:rFonts w:ascii="Garamond" w:hAnsi="Garamond"/>
          <w:sz w:val="24"/>
          <w:szCs w:val="24"/>
        </w:rPr>
        <w:t xml:space="preserve">Two </w:t>
      </w:r>
      <w:r w:rsidR="00A64F39" w:rsidRPr="00977958">
        <w:rPr>
          <w:rFonts w:ascii="Garamond" w:hAnsi="Garamond"/>
          <w:sz w:val="24"/>
          <w:szCs w:val="24"/>
        </w:rPr>
        <w:t>papers on capitalization rate determination include trading volume or fund flows as explanatory variables in their model specification</w:t>
      </w:r>
      <w:r w:rsidR="00015C53" w:rsidRPr="00977958">
        <w:rPr>
          <w:rFonts w:ascii="Garamond" w:hAnsi="Garamond"/>
          <w:sz w:val="24"/>
          <w:szCs w:val="24"/>
        </w:rPr>
        <w:t xml:space="preserve"> with different results</w:t>
      </w:r>
      <w:r w:rsidR="00A64F39" w:rsidRPr="00977958">
        <w:rPr>
          <w:rFonts w:ascii="Garamond" w:hAnsi="Garamond"/>
          <w:sz w:val="24"/>
          <w:szCs w:val="24"/>
        </w:rPr>
        <w:t>. Hendershott and MacGregor (2005) find that the share of real estate in institutional portfolios is negatively associated with capitalization rates</w:t>
      </w:r>
      <w:r w:rsidR="008926CA" w:rsidRPr="00977958">
        <w:rPr>
          <w:rFonts w:ascii="Garamond" w:hAnsi="Garamond"/>
          <w:sz w:val="24"/>
          <w:szCs w:val="24"/>
        </w:rPr>
        <w:t xml:space="preserve">. </w:t>
      </w:r>
      <w:r w:rsidR="002C7DD6" w:rsidRPr="00977958">
        <w:rPr>
          <w:rFonts w:ascii="Garamond" w:hAnsi="Garamond"/>
          <w:sz w:val="24"/>
          <w:szCs w:val="24"/>
        </w:rPr>
        <w:t>Clayton</w:t>
      </w:r>
      <w:r w:rsidR="00C24F33" w:rsidRPr="00977958">
        <w:rPr>
          <w:rFonts w:ascii="Garamond" w:hAnsi="Garamond"/>
          <w:sz w:val="24"/>
          <w:szCs w:val="24"/>
        </w:rPr>
        <w:t xml:space="preserve"> </w:t>
      </w:r>
      <w:r w:rsidR="00C24F33" w:rsidRPr="00977958">
        <w:rPr>
          <w:rFonts w:ascii="Garamond" w:hAnsi="Garamond"/>
          <w:i/>
          <w:sz w:val="24"/>
          <w:szCs w:val="24"/>
        </w:rPr>
        <w:t>et al.</w:t>
      </w:r>
      <w:r w:rsidR="002C7DD6" w:rsidRPr="00977958">
        <w:rPr>
          <w:rFonts w:ascii="Garamond" w:hAnsi="Garamond"/>
          <w:sz w:val="24"/>
          <w:szCs w:val="24"/>
        </w:rPr>
        <w:t xml:space="preserve"> (2008) use capital flows as an input into a composite investor sentiment index</w:t>
      </w:r>
      <w:r w:rsidR="008926CA" w:rsidRPr="00977958">
        <w:rPr>
          <w:rFonts w:ascii="Garamond" w:hAnsi="Garamond"/>
          <w:sz w:val="24"/>
          <w:szCs w:val="24"/>
        </w:rPr>
        <w:t xml:space="preserve">. </w:t>
      </w:r>
      <w:r w:rsidR="002C7DD6" w:rsidRPr="00977958">
        <w:rPr>
          <w:rFonts w:ascii="Garamond" w:hAnsi="Garamond"/>
          <w:sz w:val="24"/>
          <w:szCs w:val="24"/>
        </w:rPr>
        <w:t>Using a VECM approach, they find no consistent role for sentiment in explaining the time series variation of capitalization rates during the period 1996-2007</w:t>
      </w:r>
      <w:r w:rsidR="008926CA" w:rsidRPr="00977958">
        <w:rPr>
          <w:rFonts w:ascii="Garamond" w:hAnsi="Garamond"/>
          <w:sz w:val="24"/>
          <w:szCs w:val="24"/>
        </w:rPr>
        <w:t xml:space="preserve">. </w:t>
      </w:r>
      <w:r w:rsidR="003E1095" w:rsidRPr="00977958">
        <w:rPr>
          <w:rFonts w:ascii="Garamond" w:hAnsi="Garamond"/>
          <w:sz w:val="24"/>
          <w:szCs w:val="24"/>
        </w:rPr>
        <w:t xml:space="preserve">Chervachidze and Wheaton (2013) focus on availability of debt (debt flow) as a driver of </w:t>
      </w:r>
      <w:r w:rsidR="000D5236" w:rsidRPr="00977958">
        <w:rPr>
          <w:rFonts w:ascii="Garamond" w:hAnsi="Garamond"/>
          <w:sz w:val="24"/>
          <w:szCs w:val="24"/>
        </w:rPr>
        <w:t>capitalization</w:t>
      </w:r>
      <w:r w:rsidR="003E1095" w:rsidRPr="00977958">
        <w:rPr>
          <w:rFonts w:ascii="Garamond" w:hAnsi="Garamond"/>
          <w:sz w:val="24"/>
          <w:szCs w:val="24"/>
        </w:rPr>
        <w:t xml:space="preserve"> finding that changes in debt availability at the national level have significant effects on </w:t>
      </w:r>
      <w:r w:rsidR="000D5236" w:rsidRPr="00977958">
        <w:rPr>
          <w:rFonts w:ascii="Garamond" w:hAnsi="Garamond"/>
          <w:sz w:val="24"/>
          <w:szCs w:val="24"/>
        </w:rPr>
        <w:t>capitalization</w:t>
      </w:r>
      <w:r w:rsidR="003E1095" w:rsidRPr="00977958">
        <w:rPr>
          <w:rFonts w:ascii="Garamond" w:hAnsi="Garamond"/>
          <w:sz w:val="24"/>
          <w:szCs w:val="24"/>
        </w:rPr>
        <w:t xml:space="preserve"> rates</w:t>
      </w:r>
      <w:r w:rsidR="008926CA" w:rsidRPr="00977958">
        <w:rPr>
          <w:rFonts w:ascii="Garamond" w:hAnsi="Garamond"/>
          <w:sz w:val="24"/>
          <w:szCs w:val="24"/>
        </w:rPr>
        <w:t xml:space="preserve">. </w:t>
      </w:r>
      <w:r w:rsidR="003E1095" w:rsidRPr="00977958">
        <w:rPr>
          <w:rFonts w:ascii="Garamond" w:hAnsi="Garamond"/>
          <w:sz w:val="24"/>
          <w:szCs w:val="24"/>
        </w:rPr>
        <w:t xml:space="preserve">  </w:t>
      </w:r>
    </w:p>
    <w:p w:rsidR="00640EA6" w:rsidRPr="00977958" w:rsidRDefault="00640EA6" w:rsidP="00C97437">
      <w:pPr>
        <w:pStyle w:val="NoSpacing"/>
        <w:spacing w:line="360" w:lineRule="auto"/>
        <w:jc w:val="both"/>
        <w:rPr>
          <w:rFonts w:ascii="Garamond" w:hAnsi="Garamond"/>
          <w:sz w:val="24"/>
          <w:szCs w:val="24"/>
          <w:lang w:val="en-US"/>
        </w:rPr>
      </w:pPr>
    </w:p>
    <w:p w:rsidR="00E573C5" w:rsidRPr="00977958" w:rsidRDefault="00E51FB1" w:rsidP="00E573C5">
      <w:pPr>
        <w:pStyle w:val="PlainText"/>
        <w:spacing w:line="360" w:lineRule="auto"/>
        <w:jc w:val="both"/>
        <w:rPr>
          <w:rFonts w:ascii="Garamond" w:eastAsia="KaiTi" w:hAnsi="Garamond" w:cs="Times New Roman"/>
          <w:szCs w:val="24"/>
        </w:rPr>
      </w:pPr>
      <w:r w:rsidRPr="00977958">
        <w:rPr>
          <w:rFonts w:ascii="Garamond" w:hAnsi="Garamond"/>
          <w:szCs w:val="24"/>
          <w:lang w:val="en-US"/>
        </w:rPr>
        <w:t xml:space="preserve">In summary, there are some theoretical and empirical grounds to expect the level of foreign investment to affect prices. Whilst generalization can be problematic, all else equal better diversified foreign investors are likely to have lower risk premiums and be able to outbid local investors. </w:t>
      </w:r>
      <w:r w:rsidR="001C4E4C" w:rsidRPr="00977958">
        <w:rPr>
          <w:rFonts w:ascii="Garamond" w:hAnsi="Garamond"/>
          <w:szCs w:val="24"/>
          <w:lang w:val="en-US"/>
        </w:rPr>
        <w:t>However, i</w:t>
      </w:r>
      <w:r w:rsidRPr="00977958">
        <w:rPr>
          <w:rFonts w:ascii="Garamond" w:hAnsi="Garamond"/>
          <w:szCs w:val="24"/>
          <w:lang w:val="en-US"/>
        </w:rPr>
        <w:t xml:space="preserve">t is likely that the additional demand from foreign investors will be concentrated in </w:t>
      </w:r>
      <w:r w:rsidR="001C4E4C" w:rsidRPr="00977958">
        <w:rPr>
          <w:rFonts w:ascii="Garamond" w:hAnsi="Garamond"/>
          <w:szCs w:val="24"/>
          <w:lang w:val="en-US"/>
        </w:rPr>
        <w:t xml:space="preserve">specific </w:t>
      </w:r>
      <w:r w:rsidRPr="00977958">
        <w:rPr>
          <w:rFonts w:ascii="Garamond" w:hAnsi="Garamond"/>
          <w:szCs w:val="24"/>
          <w:lang w:val="en-US"/>
        </w:rPr>
        <w:t>sectors</w:t>
      </w:r>
      <w:r w:rsidR="001C4E4C" w:rsidRPr="00977958">
        <w:rPr>
          <w:rFonts w:ascii="Garamond" w:hAnsi="Garamond"/>
          <w:szCs w:val="24"/>
          <w:lang w:val="en-US"/>
        </w:rPr>
        <w:t>, asset segments</w:t>
      </w:r>
      <w:r w:rsidRPr="00977958">
        <w:rPr>
          <w:rFonts w:ascii="Garamond" w:hAnsi="Garamond"/>
          <w:szCs w:val="24"/>
          <w:lang w:val="en-US"/>
        </w:rPr>
        <w:t xml:space="preserve"> and locations and that</w:t>
      </w:r>
      <w:r w:rsidR="001C4E4C" w:rsidRPr="00977958">
        <w:rPr>
          <w:rFonts w:ascii="Garamond" w:hAnsi="Garamond"/>
          <w:szCs w:val="24"/>
          <w:lang w:val="en-US"/>
        </w:rPr>
        <w:t>, consequently,</w:t>
      </w:r>
      <w:r w:rsidRPr="00977958">
        <w:rPr>
          <w:rFonts w:ascii="Garamond" w:hAnsi="Garamond"/>
          <w:szCs w:val="24"/>
          <w:lang w:val="en-US"/>
        </w:rPr>
        <w:t xml:space="preserve"> initial price effects will be concentrated. </w:t>
      </w:r>
      <w:r w:rsidR="001C4E4C" w:rsidRPr="00977958">
        <w:rPr>
          <w:rFonts w:ascii="Garamond" w:hAnsi="Garamond" w:cs="Times New Roman"/>
          <w:szCs w:val="24"/>
        </w:rPr>
        <w:t xml:space="preserve">Shiller (1998) recognised that there was an inherent problem with flow-return studies in that </w:t>
      </w:r>
      <w:r w:rsidR="001C4E4C" w:rsidRPr="00977958">
        <w:rPr>
          <w:rFonts w:ascii="Garamond" w:eastAsia="KaiTi" w:hAnsi="Garamond" w:cs="Times New Roman"/>
          <w:szCs w:val="24"/>
        </w:rPr>
        <w:t xml:space="preserve">capital ‘surges’ do not add capital to the overall market since other investors are taking the other side of the transaction. </w:t>
      </w:r>
      <w:r w:rsidR="001C4E4C" w:rsidRPr="00977958">
        <w:rPr>
          <w:rFonts w:ascii="Garamond" w:hAnsi="Garamond"/>
          <w:szCs w:val="24"/>
          <w:lang w:val="en-US"/>
        </w:rPr>
        <w:t>It is also important to acknowledge the potential indirect effect of foreign investment.</w:t>
      </w:r>
      <w:r w:rsidRPr="00977958">
        <w:rPr>
          <w:rFonts w:ascii="Garamond" w:hAnsi="Garamond"/>
          <w:szCs w:val="24"/>
          <w:lang w:val="en-US"/>
        </w:rPr>
        <w:t xml:space="preserve"> </w:t>
      </w:r>
      <w:r w:rsidR="00E573C5" w:rsidRPr="00977958">
        <w:rPr>
          <w:rFonts w:ascii="Garamond" w:hAnsi="Garamond" w:cs="Times New Roman"/>
          <w:szCs w:val="24"/>
        </w:rPr>
        <w:t xml:space="preserve">Foreign investment may produce additional investment flows but also may simply replace local capital that is, in turn, </w:t>
      </w:r>
      <w:r w:rsidR="001C4E4C" w:rsidRPr="00977958">
        <w:rPr>
          <w:rFonts w:ascii="Garamond" w:hAnsi="Garamond" w:cs="Times New Roman"/>
          <w:szCs w:val="24"/>
        </w:rPr>
        <w:t xml:space="preserve">now </w:t>
      </w:r>
      <w:r w:rsidR="00E573C5" w:rsidRPr="00977958">
        <w:rPr>
          <w:rFonts w:ascii="Garamond" w:hAnsi="Garamond" w:cs="Times New Roman"/>
          <w:szCs w:val="24"/>
        </w:rPr>
        <w:t>being allocated to foreign markets. Foreign capital may also be ‘</w:t>
      </w:r>
      <w:r w:rsidR="001C4E4C" w:rsidRPr="00977958">
        <w:rPr>
          <w:rFonts w:ascii="Garamond" w:hAnsi="Garamond" w:cs="Times New Roman"/>
          <w:szCs w:val="24"/>
        </w:rPr>
        <w:t>crowd</w:t>
      </w:r>
      <w:r w:rsidR="00E573C5" w:rsidRPr="00977958">
        <w:rPr>
          <w:rFonts w:ascii="Garamond" w:hAnsi="Garamond" w:cs="Times New Roman"/>
          <w:szCs w:val="24"/>
        </w:rPr>
        <w:t>ing</w:t>
      </w:r>
      <w:r w:rsidR="001C4E4C" w:rsidRPr="00977958">
        <w:rPr>
          <w:rFonts w:ascii="Garamond" w:hAnsi="Garamond" w:cs="Times New Roman"/>
          <w:szCs w:val="24"/>
        </w:rPr>
        <w:t xml:space="preserve"> out</w:t>
      </w:r>
      <w:r w:rsidR="00E573C5" w:rsidRPr="00977958">
        <w:rPr>
          <w:rFonts w:ascii="Garamond" w:hAnsi="Garamond" w:cs="Times New Roman"/>
          <w:szCs w:val="24"/>
        </w:rPr>
        <w:t xml:space="preserve">’ local capital redirecting it towards smaller or lower quality locations and/or assets creating secondary price pressure effects. </w:t>
      </w:r>
      <w:r w:rsidR="00D10CCF" w:rsidRPr="00977958">
        <w:rPr>
          <w:rFonts w:ascii="Garamond" w:hAnsi="Garamond" w:cs="Times New Roman"/>
          <w:szCs w:val="24"/>
        </w:rPr>
        <w:t xml:space="preserve">This study specifically focuses on the impact of proportion of foreign purchases on cap rates, rather than the effect of changes in net capital flows. We hypothesise that an increase in market share of foreign buyers will lead to </w:t>
      </w:r>
      <w:r w:rsidR="007710E0" w:rsidRPr="00977958">
        <w:rPr>
          <w:rFonts w:ascii="Garamond" w:hAnsi="Garamond" w:cs="Times New Roman"/>
          <w:szCs w:val="24"/>
        </w:rPr>
        <w:t>decrease in market cap rates (there, an increase in asset prices).</w:t>
      </w:r>
    </w:p>
    <w:p w:rsidR="00E62CCC" w:rsidRPr="00977958" w:rsidRDefault="00E62CCC" w:rsidP="001C4E4C">
      <w:pPr>
        <w:pStyle w:val="NoSpacing"/>
        <w:spacing w:line="360" w:lineRule="auto"/>
        <w:jc w:val="both"/>
        <w:rPr>
          <w:rFonts w:ascii="Garamond" w:hAnsi="Garamond"/>
          <w:b/>
          <w:sz w:val="24"/>
          <w:szCs w:val="24"/>
          <w:lang w:val="en-US"/>
        </w:rPr>
      </w:pPr>
    </w:p>
    <w:p w:rsidR="00E62CCC" w:rsidRPr="00977958" w:rsidRDefault="00E62CCC" w:rsidP="001C4E4C">
      <w:pPr>
        <w:pStyle w:val="NoSpacing"/>
        <w:spacing w:line="360" w:lineRule="auto"/>
        <w:jc w:val="both"/>
        <w:rPr>
          <w:rFonts w:ascii="Garamond" w:hAnsi="Garamond"/>
          <w:b/>
          <w:sz w:val="24"/>
          <w:szCs w:val="24"/>
          <w:lang w:val="en-US"/>
        </w:rPr>
      </w:pPr>
    </w:p>
    <w:p w:rsidR="00F913F4" w:rsidRPr="00977958" w:rsidRDefault="00640EA6" w:rsidP="001C4E4C">
      <w:pPr>
        <w:pStyle w:val="NoSpacing"/>
        <w:spacing w:line="360" w:lineRule="auto"/>
        <w:jc w:val="both"/>
        <w:rPr>
          <w:rFonts w:ascii="Garamond" w:hAnsi="Garamond"/>
          <w:b/>
          <w:sz w:val="24"/>
          <w:szCs w:val="24"/>
          <w:lang w:val="en-US"/>
        </w:rPr>
      </w:pPr>
      <w:r w:rsidRPr="00977958">
        <w:rPr>
          <w:rFonts w:ascii="Garamond" w:hAnsi="Garamond"/>
          <w:b/>
          <w:sz w:val="24"/>
          <w:szCs w:val="24"/>
          <w:lang w:val="en-US"/>
        </w:rPr>
        <w:t>DATA</w:t>
      </w:r>
    </w:p>
    <w:p w:rsidR="000F20C1" w:rsidRPr="00977958" w:rsidRDefault="00F361D3" w:rsidP="000F20C1">
      <w:pPr>
        <w:pStyle w:val="NoSpacing"/>
        <w:spacing w:line="360" w:lineRule="auto"/>
        <w:jc w:val="both"/>
        <w:rPr>
          <w:rFonts w:ascii="Garamond" w:hAnsi="Garamond"/>
          <w:sz w:val="24"/>
          <w:szCs w:val="24"/>
          <w:lang w:val="en-US"/>
        </w:rPr>
      </w:pPr>
      <w:r w:rsidRPr="00977958">
        <w:rPr>
          <w:rFonts w:ascii="Garamond" w:hAnsi="Garamond"/>
          <w:sz w:val="24"/>
          <w:szCs w:val="24"/>
        </w:rPr>
        <w:t>Transaction data on commercial real estate markets tends to be partial, particular (to the collector’s circumstances and requirements), proprietary and/or private</w:t>
      </w:r>
      <w:r w:rsidR="008926CA" w:rsidRPr="00977958">
        <w:rPr>
          <w:rFonts w:ascii="Garamond" w:hAnsi="Garamond"/>
          <w:sz w:val="24"/>
          <w:szCs w:val="24"/>
        </w:rPr>
        <w:t xml:space="preserve">. </w:t>
      </w:r>
      <w:r w:rsidR="00F913F4" w:rsidRPr="00977958">
        <w:rPr>
          <w:rFonts w:ascii="Garamond" w:hAnsi="Garamond"/>
          <w:sz w:val="24"/>
          <w:szCs w:val="24"/>
        </w:rPr>
        <w:t xml:space="preserve">To investigate cross-border real estate investment flows empirically, we </w:t>
      </w:r>
      <w:r w:rsidRPr="00977958">
        <w:rPr>
          <w:rFonts w:ascii="Garamond" w:hAnsi="Garamond"/>
          <w:sz w:val="24"/>
          <w:szCs w:val="24"/>
        </w:rPr>
        <w:t xml:space="preserve">have been provided with access to </w:t>
      </w:r>
      <w:r w:rsidR="000F20C1" w:rsidRPr="00977958">
        <w:rPr>
          <w:rFonts w:ascii="Garamond" w:hAnsi="Garamond"/>
          <w:sz w:val="24"/>
          <w:szCs w:val="24"/>
        </w:rPr>
        <w:t xml:space="preserve">Real </w:t>
      </w:r>
      <w:r w:rsidR="000F20C1" w:rsidRPr="00977958">
        <w:rPr>
          <w:rFonts w:ascii="Garamond" w:hAnsi="Garamond"/>
          <w:sz w:val="24"/>
          <w:szCs w:val="24"/>
        </w:rPr>
        <w:lastRenderedPageBreak/>
        <w:t>Capital Analytics’ (RCA) t</w:t>
      </w:r>
      <w:r w:rsidR="003B5021" w:rsidRPr="00977958">
        <w:rPr>
          <w:rFonts w:ascii="Garamond" w:hAnsi="Garamond"/>
          <w:sz w:val="24"/>
          <w:szCs w:val="24"/>
        </w:rPr>
        <w:t xml:space="preserve">ransactions </w:t>
      </w:r>
      <w:r w:rsidR="000F20C1" w:rsidRPr="00977958">
        <w:rPr>
          <w:rFonts w:ascii="Garamond" w:hAnsi="Garamond"/>
          <w:sz w:val="24"/>
          <w:szCs w:val="24"/>
        </w:rPr>
        <w:t>d</w:t>
      </w:r>
      <w:r w:rsidR="003B5021" w:rsidRPr="00977958">
        <w:rPr>
          <w:rFonts w:ascii="Garamond" w:hAnsi="Garamond"/>
          <w:sz w:val="24"/>
          <w:szCs w:val="24"/>
        </w:rPr>
        <w:t>atabase</w:t>
      </w:r>
      <w:r w:rsidR="000F20C1" w:rsidRPr="00977958">
        <w:rPr>
          <w:rFonts w:ascii="Garamond" w:hAnsi="Garamond"/>
          <w:sz w:val="24"/>
          <w:szCs w:val="24"/>
        </w:rPr>
        <w:t>.</w:t>
      </w:r>
      <w:r w:rsidR="008C5226" w:rsidRPr="00977958">
        <w:rPr>
          <w:rFonts w:ascii="Garamond" w:hAnsi="Garamond"/>
          <w:sz w:val="24"/>
          <w:szCs w:val="24"/>
        </w:rPr>
        <w:t xml:space="preserve"> </w:t>
      </w:r>
      <w:r w:rsidR="000F20C1" w:rsidRPr="00977958">
        <w:rPr>
          <w:rFonts w:ascii="Garamond" w:hAnsi="Garamond"/>
          <w:sz w:val="24"/>
          <w:szCs w:val="24"/>
        </w:rPr>
        <w:t xml:space="preserve">RCA started tracking commercial property transactions in the United States 2000. In 2007, coverage was expanded to include </w:t>
      </w:r>
      <w:r w:rsidR="000F20C1" w:rsidRPr="00977958">
        <w:rPr>
          <w:rFonts w:ascii="Garamond" w:hAnsi="Garamond"/>
          <w:bCs/>
          <w:sz w:val="24"/>
          <w:szCs w:val="24"/>
        </w:rPr>
        <w:t xml:space="preserve">all markets globally.  </w:t>
      </w:r>
      <w:r w:rsidR="000F20C1" w:rsidRPr="00977958">
        <w:rPr>
          <w:rFonts w:ascii="Garamond" w:hAnsi="Garamond"/>
          <w:sz w:val="24"/>
          <w:szCs w:val="24"/>
        </w:rPr>
        <w:t xml:space="preserve">RCA focuses primarily on the main income-producing property types: office, industrial, retail, apartment and hotel, plus sales of commercially developable land sites.   </w:t>
      </w:r>
    </w:p>
    <w:p w:rsidR="00F913F4" w:rsidRPr="00977958" w:rsidRDefault="00F913F4" w:rsidP="00C97437">
      <w:pPr>
        <w:pStyle w:val="NoSpacing"/>
        <w:spacing w:line="360" w:lineRule="auto"/>
        <w:jc w:val="both"/>
        <w:rPr>
          <w:rFonts w:ascii="Garamond" w:hAnsi="Garamond"/>
          <w:sz w:val="24"/>
          <w:szCs w:val="24"/>
        </w:rPr>
      </w:pP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r>
    </w:p>
    <w:p w:rsidR="00CB0839" w:rsidRPr="00977958" w:rsidRDefault="00C31D9E" w:rsidP="00C97437">
      <w:pPr>
        <w:pStyle w:val="NoSpacing"/>
        <w:spacing w:line="360" w:lineRule="auto"/>
        <w:jc w:val="both"/>
        <w:rPr>
          <w:rFonts w:ascii="Garamond" w:hAnsi="Garamond"/>
          <w:sz w:val="24"/>
          <w:szCs w:val="24"/>
        </w:rPr>
      </w:pPr>
      <w:r w:rsidRPr="00977958">
        <w:rPr>
          <w:rFonts w:ascii="Garamond" w:hAnsi="Garamond"/>
          <w:sz w:val="24"/>
          <w:szCs w:val="24"/>
          <w:lang w:val="en-US"/>
        </w:rPr>
        <w:t xml:space="preserve">Given the increasing globalization of investment markets allied with growing complexity of investment vehicles, in particular, the growth of unlisted, pooled funds, joint ventures and Special Purpose Vehicles,  it is also important to acknowledge that it has become more and more simplistic to classify ownership by nationality.  RCA define a </w:t>
      </w:r>
      <w:r w:rsidRPr="00977958">
        <w:rPr>
          <w:rFonts w:ascii="Garamond" w:hAnsi="Garamond"/>
          <w:sz w:val="24"/>
          <w:szCs w:val="24"/>
        </w:rPr>
        <w:t xml:space="preserve">transaction as "cross-border" if the buyer or major investor is not headquartered in the same country where the acquired asset is located. They state that the buyer's identity or country of origin is known for well over 90% of total volume. If the country of origin is not known, the buyer is assumed to be domestic. An increasing number of firms have subsidiaries accessing capital in multiple countries so a firm may have two headquarter locations. For example, RCA assume that Deutsche Bank (DB Real Estate) is assumed to be based in Germany for deals outside of the US while their acquisitions in the US are assumed to be made via its US headquartered subsidiary, RREEF.  RREEF, now re-named Deutsche Asset and Wealth Management, have six offices in Europe, six in Asia and nine in North America. Further, many of the real estate investing institutions located in global financial centres will not be the ultimate investors in the sense that they are not the source of the capital. Capital may be drawn from a range of international markets and simply ‘pass through’ the major financial centres </w:t>
      </w:r>
      <w:r w:rsidR="00CB0839" w:rsidRPr="00977958">
        <w:rPr>
          <w:rFonts w:ascii="Garamond" w:hAnsi="Garamond"/>
          <w:sz w:val="24"/>
          <w:szCs w:val="24"/>
        </w:rPr>
        <w:t>which effectively act as capital transhipment hubs</w:t>
      </w:r>
      <w:r w:rsidRPr="00977958">
        <w:rPr>
          <w:rFonts w:ascii="Garamond" w:hAnsi="Garamond"/>
          <w:sz w:val="24"/>
          <w:szCs w:val="24"/>
        </w:rPr>
        <w:t>. Particularly when capital is pooled, there are major difficulties in establishing the ultimate source of the real estate investment routed through these centres.  For instance, sovereign wealth funds such as the Abu Dhabi Investment Authority or Government of Singapore Investment Corporation (now GIC Private Limited) invest directly in real estate assets but also invest in pooled funds that may be located in one international market but invest in real estate assets in other markets.</w:t>
      </w:r>
      <w:r w:rsidR="00EB02AA" w:rsidRPr="00977958">
        <w:rPr>
          <w:rFonts w:ascii="Garamond" w:hAnsi="Garamond"/>
          <w:sz w:val="24"/>
          <w:szCs w:val="24"/>
        </w:rPr>
        <w:t xml:space="preserve"> The complexities involved in some real estate transactions illustrate some of the difficulties of categorization. One of the largest transactions in the database involved the General Motors Building - a 50-story office tower located in Manhattan, New York City. In May 2013</w:t>
      </w:r>
      <w:r w:rsidR="00977958" w:rsidRPr="00977958">
        <w:rPr>
          <w:rFonts w:ascii="Garamond" w:hAnsi="Garamond"/>
          <w:sz w:val="24"/>
          <w:szCs w:val="24"/>
        </w:rPr>
        <w:t>,</w:t>
      </w:r>
      <w:r w:rsidR="00EB02AA" w:rsidRPr="00977958">
        <w:rPr>
          <w:rFonts w:ascii="Garamond" w:hAnsi="Garamond"/>
          <w:sz w:val="24"/>
          <w:szCs w:val="24"/>
        </w:rPr>
        <w:t xml:space="preserve"> a joint venture consisting of Zhang Xin (a Chinese real estate magnate) and Moise Safra (a Brazilian banking magnate) bought a 40% stake in the building through an entity entitled Sungate Trust. They acquired it from a joint venture between Boston Properties (a US Real Estate Investment Trust), Goldman Sachs Real Estate Opportunities Fund (backed by funds from Kuwait and Qatar), and Meraas Capital (Dubai-based real estate private equity firm). Boston Properties </w:t>
      </w:r>
      <w:r w:rsidR="00EB02AA" w:rsidRPr="00977958">
        <w:rPr>
          <w:rFonts w:ascii="Garamond" w:hAnsi="Garamond"/>
          <w:sz w:val="24"/>
          <w:szCs w:val="24"/>
        </w:rPr>
        <w:lastRenderedPageBreak/>
        <w:t>retained a 60% stake in the asset whilst the Goldman Sachs fund and Meraas Captital sold their interests.</w:t>
      </w:r>
      <w:r w:rsidRPr="00977958">
        <w:rPr>
          <w:rFonts w:ascii="Garamond" w:hAnsi="Garamond"/>
          <w:sz w:val="24"/>
          <w:szCs w:val="24"/>
        </w:rPr>
        <w:t xml:space="preserve"> </w:t>
      </w:r>
    </w:p>
    <w:p w:rsidR="00CB0839" w:rsidRPr="00977958" w:rsidRDefault="00CB0839" w:rsidP="00C97437">
      <w:pPr>
        <w:pStyle w:val="NoSpacing"/>
        <w:spacing w:line="360" w:lineRule="auto"/>
        <w:jc w:val="both"/>
        <w:rPr>
          <w:rFonts w:ascii="Garamond" w:hAnsi="Garamond"/>
          <w:sz w:val="24"/>
          <w:szCs w:val="24"/>
        </w:rPr>
      </w:pPr>
    </w:p>
    <w:p w:rsidR="00A80EC9" w:rsidRPr="00977958" w:rsidRDefault="00C31D9E" w:rsidP="00A80EC9">
      <w:pPr>
        <w:pStyle w:val="NoSpacing"/>
        <w:spacing w:line="360" w:lineRule="auto"/>
        <w:jc w:val="both"/>
        <w:rPr>
          <w:rFonts w:ascii="Garamond" w:hAnsi="Garamond"/>
          <w:sz w:val="24"/>
          <w:szCs w:val="24"/>
        </w:rPr>
      </w:pPr>
      <w:r w:rsidRPr="00977958">
        <w:rPr>
          <w:rFonts w:ascii="Garamond" w:hAnsi="Garamond"/>
          <w:sz w:val="24"/>
          <w:szCs w:val="24"/>
        </w:rPr>
        <w:t>F</w:t>
      </w:r>
      <w:r w:rsidR="00CB0839" w:rsidRPr="00977958">
        <w:rPr>
          <w:rFonts w:ascii="Garamond" w:hAnsi="Garamond"/>
          <w:sz w:val="24"/>
          <w:szCs w:val="24"/>
        </w:rPr>
        <w:t>urther</w:t>
      </w:r>
      <w:r w:rsidRPr="00977958">
        <w:rPr>
          <w:rFonts w:ascii="Garamond" w:hAnsi="Garamond"/>
          <w:sz w:val="24"/>
          <w:szCs w:val="24"/>
        </w:rPr>
        <w:t xml:space="preserve">, </w:t>
      </w:r>
      <w:r w:rsidR="00CB0839" w:rsidRPr="00977958">
        <w:rPr>
          <w:rFonts w:ascii="Garamond" w:hAnsi="Garamond"/>
          <w:sz w:val="24"/>
          <w:szCs w:val="24"/>
        </w:rPr>
        <w:t xml:space="preserve">in the US there are tax incentives for foreign investors to </w:t>
      </w:r>
      <w:r w:rsidR="00F315C4" w:rsidRPr="00977958">
        <w:rPr>
          <w:rFonts w:ascii="Garamond" w:hAnsi="Garamond"/>
          <w:sz w:val="24"/>
          <w:szCs w:val="24"/>
        </w:rPr>
        <w:t>pool capital</w:t>
      </w:r>
      <w:r w:rsidR="00CB0839" w:rsidRPr="00977958">
        <w:rPr>
          <w:rFonts w:ascii="Garamond" w:hAnsi="Garamond"/>
          <w:sz w:val="24"/>
          <w:szCs w:val="24"/>
        </w:rPr>
        <w:t xml:space="preserve"> with other investors and acquire minority interests in real estate assets.  I</w:t>
      </w:r>
      <w:r w:rsidRPr="00977958">
        <w:rPr>
          <w:rFonts w:ascii="Garamond" w:hAnsi="Garamond"/>
          <w:sz w:val="24"/>
          <w:szCs w:val="24"/>
        </w:rPr>
        <w:t xml:space="preserve">t is relatively common for foreign investors to acquire a 49% interest in a (vehicle owing) a real estate asset.  The remaining 51% could be owned </w:t>
      </w:r>
      <w:r w:rsidR="00F315C4" w:rsidRPr="00977958">
        <w:rPr>
          <w:rFonts w:ascii="Garamond" w:hAnsi="Garamond"/>
          <w:sz w:val="24"/>
          <w:szCs w:val="24"/>
        </w:rPr>
        <w:t>by</w:t>
      </w:r>
      <w:r w:rsidRPr="00977958">
        <w:rPr>
          <w:rFonts w:ascii="Garamond" w:hAnsi="Garamond"/>
          <w:sz w:val="24"/>
          <w:szCs w:val="24"/>
        </w:rPr>
        <w:t xml:space="preserve"> another</w:t>
      </w:r>
      <w:r w:rsidR="00A80EC9" w:rsidRPr="00977958">
        <w:rPr>
          <w:rFonts w:ascii="Garamond" w:hAnsi="Garamond"/>
          <w:sz w:val="24"/>
          <w:szCs w:val="24"/>
        </w:rPr>
        <w:t xml:space="preserve"> foreign investor (49%) and a global investment manager (2%) with local presence who acquired the asset, structured the vehicle etc. </w:t>
      </w:r>
      <w:r w:rsidR="00D135B1" w:rsidRPr="00977958">
        <w:rPr>
          <w:rFonts w:ascii="Garamond" w:hAnsi="Garamond"/>
          <w:sz w:val="24"/>
          <w:szCs w:val="24"/>
        </w:rPr>
        <w:t xml:space="preserve">We expect this issue to have greater significance in markets with high-value lot sizes with a result that the level of foreign investment is likely to be under-estimated in major gateway cities such as New York, LA, San Francisco. Put simply, </w:t>
      </w:r>
      <w:r w:rsidR="00AE5908" w:rsidRPr="00977958">
        <w:rPr>
          <w:rFonts w:ascii="Garamond" w:hAnsi="Garamond"/>
          <w:sz w:val="24"/>
          <w:szCs w:val="24"/>
        </w:rPr>
        <w:t xml:space="preserve">many trophy assets may be too large in value for a single investor and therefore, more likely to be acquired by investor consortia. </w:t>
      </w:r>
      <w:r w:rsidR="00A80EC9" w:rsidRPr="00977958">
        <w:rPr>
          <w:rFonts w:ascii="Garamond" w:hAnsi="Garamond"/>
          <w:sz w:val="24"/>
          <w:szCs w:val="24"/>
        </w:rPr>
        <w:t>Further, t</w:t>
      </w:r>
      <w:r w:rsidR="00A80EC9" w:rsidRPr="00977958">
        <w:rPr>
          <w:rFonts w:ascii="Garamond" w:hAnsi="Garamond"/>
          <w:sz w:val="24"/>
          <w:szCs w:val="24"/>
          <w:lang w:val="en-US"/>
        </w:rPr>
        <w:t>he notion of foreignness is increasingly becoming conceptually problematic in this context. The local offices of global service providers are typically</w:t>
      </w:r>
      <w:r w:rsidR="00A80EC9" w:rsidRPr="00977958">
        <w:rPr>
          <w:rFonts w:ascii="Garamond" w:hAnsi="Garamond"/>
          <w:sz w:val="24"/>
          <w:szCs w:val="24"/>
        </w:rPr>
        <w:t xml:space="preserve"> the product of mergers with local practices employing local professionals who are embedded in local business and political networks.  In essence, in most developed markets, foreign real estate investing </w:t>
      </w:r>
      <w:r w:rsidR="000D186C" w:rsidRPr="00977958">
        <w:rPr>
          <w:rFonts w:ascii="Garamond" w:hAnsi="Garamond"/>
          <w:sz w:val="24"/>
          <w:szCs w:val="24"/>
        </w:rPr>
        <w:t>organization</w:t>
      </w:r>
      <w:r w:rsidR="00A80EC9" w:rsidRPr="00977958">
        <w:rPr>
          <w:rFonts w:ascii="Garamond" w:hAnsi="Garamond"/>
          <w:sz w:val="24"/>
          <w:szCs w:val="24"/>
        </w:rPr>
        <w:t xml:space="preserve">s who set up local operating platforms, by employing experienced local professionals in local offices who are effectively enculturated insiders, are likely to have access to similar informational sets about local markets as local investors. These definitional and data difficulties notwithstanding, the RCA database provides a valuable source of data in real estate investment transactions that warrants a detailed analysis. </w:t>
      </w:r>
    </w:p>
    <w:p w:rsidR="00455423" w:rsidRPr="00977958" w:rsidRDefault="00455423" w:rsidP="00A80EC9">
      <w:pPr>
        <w:spacing w:line="360" w:lineRule="auto"/>
        <w:jc w:val="both"/>
        <w:rPr>
          <w:rFonts w:ascii="Garamond" w:hAnsi="Garamond"/>
          <w:sz w:val="24"/>
          <w:szCs w:val="24"/>
          <w:lang w:val="en-US"/>
        </w:rPr>
      </w:pPr>
    </w:p>
    <w:p w:rsidR="00CE4D9F" w:rsidRDefault="00A80EC9" w:rsidP="00A80EC9">
      <w:pPr>
        <w:spacing w:line="360" w:lineRule="auto"/>
        <w:jc w:val="both"/>
        <w:rPr>
          <w:rFonts w:ascii="Garamond" w:hAnsi="Garamond"/>
          <w:sz w:val="24"/>
          <w:szCs w:val="24"/>
          <w:lang w:val="en-US"/>
        </w:rPr>
      </w:pPr>
      <w:r w:rsidRPr="00977958">
        <w:rPr>
          <w:rFonts w:ascii="Garamond" w:hAnsi="Garamond"/>
          <w:sz w:val="24"/>
          <w:szCs w:val="24"/>
          <w:lang w:val="en-US"/>
        </w:rPr>
        <w:t xml:space="preserve">Summary statistics are displayed in Exhibit 1. Broadly the sample period consists of a period of falling office capitalization rates between 2000 and 2007.  As expected, the mean capitalization rate is at its lowest in 2007 </w:t>
      </w:r>
      <w:r w:rsidR="001C4E4C" w:rsidRPr="00977958">
        <w:rPr>
          <w:rFonts w:ascii="Garamond" w:hAnsi="Garamond"/>
          <w:sz w:val="24"/>
          <w:szCs w:val="24"/>
          <w:lang w:val="en-US"/>
        </w:rPr>
        <w:t xml:space="preserve">at the peak of the </w:t>
      </w:r>
      <w:r w:rsidRPr="00977958">
        <w:rPr>
          <w:rFonts w:ascii="Garamond" w:hAnsi="Garamond"/>
          <w:sz w:val="24"/>
          <w:szCs w:val="24"/>
          <w:lang w:val="en-US"/>
        </w:rPr>
        <w:t xml:space="preserve">market </w:t>
      </w:r>
      <w:r w:rsidR="008013AB" w:rsidRPr="00977958">
        <w:rPr>
          <w:rFonts w:ascii="Garamond" w:hAnsi="Garamond"/>
          <w:sz w:val="24"/>
          <w:szCs w:val="24"/>
          <w:lang w:val="en-US"/>
        </w:rPr>
        <w:t>boom</w:t>
      </w:r>
      <w:r w:rsidRPr="00977958">
        <w:rPr>
          <w:rFonts w:ascii="Garamond" w:hAnsi="Garamond"/>
          <w:sz w:val="24"/>
          <w:szCs w:val="24"/>
          <w:lang w:val="en-US"/>
        </w:rPr>
        <w:t xml:space="preserve"> preceding the Global Financial Crisis (GFC) which began in the period 2007/8. During the GFC, mean capitalization rates rose significantly from a low of 6.8% in 2007 to 8.2% in 2009. </w:t>
      </w:r>
      <w:r w:rsidR="008013AB" w:rsidRPr="00977958">
        <w:rPr>
          <w:rFonts w:ascii="Garamond" w:hAnsi="Garamond"/>
          <w:sz w:val="24"/>
          <w:szCs w:val="24"/>
          <w:lang w:val="en-US"/>
        </w:rPr>
        <w:t>Post-GFC, the recovery period of 2010 onwards, average market cap rate started to recover.</w:t>
      </w:r>
      <w:r w:rsidR="00DD2D18" w:rsidRPr="00977958">
        <w:rPr>
          <w:rFonts w:ascii="Garamond" w:hAnsi="Garamond"/>
          <w:sz w:val="24"/>
          <w:szCs w:val="24"/>
          <w:lang w:val="en-US"/>
        </w:rPr>
        <w:t xml:space="preserve"> </w:t>
      </w:r>
      <w:r w:rsidR="00455423" w:rsidRPr="00977958">
        <w:rPr>
          <w:rFonts w:ascii="Garamond" w:hAnsi="Garamond"/>
          <w:sz w:val="24"/>
          <w:szCs w:val="24"/>
          <w:lang w:val="en-US"/>
        </w:rPr>
        <w:t xml:space="preserve">A broadly similar </w:t>
      </w:r>
      <w:r w:rsidR="001C4E4C" w:rsidRPr="00977958">
        <w:rPr>
          <w:rFonts w:ascii="Garamond" w:hAnsi="Garamond"/>
          <w:sz w:val="24"/>
          <w:szCs w:val="24"/>
          <w:lang w:val="en-US"/>
        </w:rPr>
        <w:t xml:space="preserve">cross-sectional </w:t>
      </w:r>
      <w:r w:rsidR="00455423" w:rsidRPr="00977958">
        <w:rPr>
          <w:rFonts w:ascii="Garamond" w:hAnsi="Garamond"/>
          <w:sz w:val="24"/>
          <w:szCs w:val="24"/>
          <w:lang w:val="en-US"/>
        </w:rPr>
        <w:t xml:space="preserve">spread of mean capitalization rates was found. New York’s mean capitalization rate in the sample period was 6.9% and Oklahoma City’s was highest at 8.6%. </w:t>
      </w:r>
      <w:r w:rsidR="00DD2D18" w:rsidRPr="00977958">
        <w:rPr>
          <w:rFonts w:ascii="Garamond" w:hAnsi="Garamond"/>
          <w:sz w:val="24"/>
          <w:szCs w:val="24"/>
          <w:lang w:val="en-US"/>
        </w:rPr>
        <w:t xml:space="preserve">Indicating </w:t>
      </w:r>
      <w:r w:rsidR="001C4E4C" w:rsidRPr="00977958">
        <w:rPr>
          <w:rFonts w:ascii="Garamond" w:hAnsi="Garamond"/>
          <w:sz w:val="24"/>
          <w:szCs w:val="24"/>
          <w:lang w:val="en-US"/>
        </w:rPr>
        <w:t xml:space="preserve">a </w:t>
      </w:r>
      <w:r w:rsidR="00DD2D18" w:rsidRPr="00977958">
        <w:rPr>
          <w:rFonts w:ascii="Garamond" w:hAnsi="Garamond"/>
          <w:sz w:val="24"/>
          <w:szCs w:val="24"/>
          <w:lang w:val="en-US"/>
        </w:rPr>
        <w:t xml:space="preserve">relatively highly integrated national office investment markets, cities </w:t>
      </w:r>
      <w:r w:rsidRPr="00977958">
        <w:rPr>
          <w:rFonts w:ascii="Garamond" w:hAnsi="Garamond"/>
          <w:sz w:val="24"/>
          <w:szCs w:val="24"/>
          <w:lang w:val="en-US"/>
        </w:rPr>
        <w:t xml:space="preserve">within the US have had </w:t>
      </w:r>
      <w:r w:rsidR="00DD2D18" w:rsidRPr="00977958">
        <w:rPr>
          <w:rFonts w:ascii="Garamond" w:hAnsi="Garamond"/>
          <w:sz w:val="24"/>
          <w:szCs w:val="24"/>
          <w:lang w:val="en-US"/>
        </w:rPr>
        <w:t>similar</w:t>
      </w:r>
      <w:r w:rsidRPr="00977958">
        <w:rPr>
          <w:rFonts w:ascii="Garamond" w:hAnsi="Garamond"/>
          <w:sz w:val="24"/>
          <w:szCs w:val="24"/>
          <w:lang w:val="en-US"/>
        </w:rPr>
        <w:t xml:space="preserve"> trajectories in the sample period</w:t>
      </w:r>
      <w:r w:rsidR="00DD2D18" w:rsidRPr="00977958">
        <w:rPr>
          <w:rFonts w:ascii="Garamond" w:hAnsi="Garamond"/>
          <w:sz w:val="24"/>
          <w:szCs w:val="24"/>
          <w:lang w:val="en-US"/>
        </w:rPr>
        <w:t xml:space="preserve"> with broadly similar levels of volatility in capitalization rates</w:t>
      </w:r>
      <w:r w:rsidRPr="00977958">
        <w:rPr>
          <w:rFonts w:ascii="Garamond" w:hAnsi="Garamond"/>
          <w:sz w:val="24"/>
          <w:szCs w:val="24"/>
          <w:lang w:val="en-US"/>
        </w:rPr>
        <w:t xml:space="preserve">. </w:t>
      </w:r>
      <w:r w:rsidR="00DD2D18" w:rsidRPr="00977958">
        <w:rPr>
          <w:rFonts w:ascii="Garamond" w:hAnsi="Garamond"/>
          <w:sz w:val="24"/>
          <w:szCs w:val="24"/>
          <w:lang w:val="en-US"/>
        </w:rPr>
        <w:t xml:space="preserve"> Not surprisingly, major ‘gateway’ cities such as New York, Boston, Washington, Los Angeles and San Francisco </w:t>
      </w:r>
      <w:r w:rsidRPr="00977958">
        <w:rPr>
          <w:rFonts w:ascii="Garamond" w:hAnsi="Garamond"/>
          <w:sz w:val="24"/>
          <w:szCs w:val="24"/>
          <w:lang w:val="en-US"/>
        </w:rPr>
        <w:t xml:space="preserve">have had the lowest </w:t>
      </w:r>
      <w:r w:rsidR="00DD2D18" w:rsidRPr="00977958">
        <w:rPr>
          <w:rFonts w:ascii="Garamond" w:hAnsi="Garamond"/>
          <w:sz w:val="24"/>
          <w:szCs w:val="24"/>
          <w:lang w:val="en-US"/>
        </w:rPr>
        <w:t xml:space="preserve">mean </w:t>
      </w:r>
      <w:r w:rsidRPr="00977958">
        <w:rPr>
          <w:rFonts w:ascii="Garamond" w:hAnsi="Garamond"/>
          <w:sz w:val="24"/>
          <w:szCs w:val="24"/>
          <w:lang w:val="en-US"/>
        </w:rPr>
        <w:t xml:space="preserve">capitalization rates. </w:t>
      </w:r>
    </w:p>
    <w:p w:rsidR="00A80EC9" w:rsidRPr="00977958" w:rsidRDefault="00CE4D9F" w:rsidP="00446DB0">
      <w:pPr>
        <w:rPr>
          <w:rFonts w:ascii="Garamond" w:hAnsi="Garamond" w:cs="Times New Roman"/>
          <w:b/>
          <w:sz w:val="28"/>
          <w:szCs w:val="28"/>
        </w:rPr>
      </w:pPr>
      <w:r>
        <w:rPr>
          <w:rFonts w:ascii="Garamond" w:hAnsi="Garamond"/>
          <w:sz w:val="24"/>
          <w:szCs w:val="24"/>
          <w:lang w:val="en-US"/>
        </w:rPr>
        <w:br w:type="page"/>
      </w:r>
      <w:r w:rsidR="00A80EC9" w:rsidRPr="00977958">
        <w:rPr>
          <w:rFonts w:ascii="Garamond" w:hAnsi="Garamond" w:cs="Times New Roman"/>
          <w:b/>
          <w:sz w:val="28"/>
          <w:szCs w:val="28"/>
        </w:rPr>
        <w:lastRenderedPageBreak/>
        <w:t>Exhibit 1:  Summary Data: Office Market Transactions across 3</w:t>
      </w:r>
      <w:r w:rsidR="00C92401">
        <w:rPr>
          <w:rFonts w:ascii="Garamond" w:hAnsi="Garamond" w:cs="Times New Roman"/>
          <w:b/>
          <w:sz w:val="28"/>
          <w:szCs w:val="28"/>
        </w:rPr>
        <w:t>8</w:t>
      </w:r>
      <w:r w:rsidR="00A80EC9" w:rsidRPr="00977958">
        <w:rPr>
          <w:rFonts w:ascii="Garamond" w:hAnsi="Garamond" w:cs="Times New Roman"/>
          <w:b/>
          <w:sz w:val="28"/>
          <w:szCs w:val="28"/>
        </w:rPr>
        <w:t xml:space="preserve"> US Cities </w:t>
      </w:r>
    </w:p>
    <w:p w:rsidR="00A80EC9" w:rsidRPr="00977958" w:rsidRDefault="00A80EC9" w:rsidP="00A80EC9">
      <w:pPr>
        <w:rPr>
          <w:rFonts w:ascii="Garamond" w:hAnsi="Garamond"/>
        </w:rPr>
      </w:pPr>
    </w:p>
    <w:tbl>
      <w:tblPr>
        <w:tblW w:w="7902" w:type="dxa"/>
        <w:jc w:val="center"/>
        <w:tblLook w:val="04A0" w:firstRow="1" w:lastRow="0" w:firstColumn="1" w:lastColumn="0" w:noHBand="0" w:noVBand="1"/>
      </w:tblPr>
      <w:tblGrid>
        <w:gridCol w:w="2142"/>
        <w:gridCol w:w="960"/>
        <w:gridCol w:w="960"/>
        <w:gridCol w:w="960"/>
        <w:gridCol w:w="960"/>
        <w:gridCol w:w="960"/>
        <w:gridCol w:w="960"/>
      </w:tblGrid>
      <w:tr w:rsidR="00A80EC9" w:rsidRPr="00977958" w:rsidTr="008013AB">
        <w:trPr>
          <w:trHeight w:val="288"/>
          <w:jc w:val="center"/>
        </w:trPr>
        <w:tc>
          <w:tcPr>
            <w:tcW w:w="2142" w:type="dxa"/>
            <w:tcBorders>
              <w:top w:val="single" w:sz="4" w:space="0" w:color="auto"/>
              <w:left w:val="nil"/>
              <w:right w:val="nil"/>
            </w:tcBorders>
            <w:shd w:val="clear" w:color="auto" w:fill="auto"/>
            <w:noWrap/>
            <w:vAlign w:val="bottom"/>
          </w:tcPr>
          <w:p w:rsidR="00A80EC9" w:rsidRPr="00977958" w:rsidRDefault="00A80EC9" w:rsidP="008E3433">
            <w:pPr>
              <w:rPr>
                <w:rFonts w:ascii="Garamond" w:eastAsia="Times New Roman" w:hAnsi="Garamond" w:cs="Times New Roman"/>
                <w:b/>
                <w:color w:val="000000"/>
                <w:lang w:eastAsia="en-GB"/>
              </w:rPr>
            </w:pPr>
          </w:p>
        </w:tc>
        <w:tc>
          <w:tcPr>
            <w:tcW w:w="1920" w:type="dxa"/>
            <w:gridSpan w:val="2"/>
            <w:tcBorders>
              <w:top w:val="single" w:sz="4" w:space="0" w:color="auto"/>
              <w:left w:val="nil"/>
              <w:right w:val="nil"/>
            </w:tcBorders>
            <w:shd w:val="clear" w:color="auto" w:fill="auto"/>
            <w:noWrap/>
            <w:vAlign w:val="bottom"/>
          </w:tcPr>
          <w:p w:rsidR="00A80EC9" w:rsidRPr="00977958" w:rsidRDefault="00A80EC9" w:rsidP="008E3433">
            <w:pPr>
              <w:jc w:val="center"/>
              <w:rPr>
                <w:rFonts w:ascii="Garamond" w:eastAsia="Times New Roman" w:hAnsi="Garamond" w:cs="Times New Roman"/>
                <w:b/>
                <w:color w:val="000000"/>
                <w:lang w:eastAsia="en-GB"/>
              </w:rPr>
            </w:pPr>
            <w:r w:rsidRPr="00977958">
              <w:rPr>
                <w:rFonts w:ascii="Garamond" w:eastAsia="Times New Roman" w:hAnsi="Garamond" w:cs="Times New Roman"/>
                <w:b/>
                <w:color w:val="000000"/>
                <w:lang w:eastAsia="en-GB"/>
              </w:rPr>
              <w:t>Cap Rate</w:t>
            </w:r>
          </w:p>
        </w:tc>
        <w:tc>
          <w:tcPr>
            <w:tcW w:w="1920" w:type="dxa"/>
            <w:gridSpan w:val="2"/>
            <w:tcBorders>
              <w:top w:val="single" w:sz="4" w:space="0" w:color="auto"/>
              <w:left w:val="nil"/>
              <w:right w:val="nil"/>
            </w:tcBorders>
            <w:shd w:val="clear" w:color="auto" w:fill="auto"/>
            <w:noWrap/>
            <w:vAlign w:val="bottom"/>
          </w:tcPr>
          <w:p w:rsidR="00A80EC9" w:rsidRPr="00977958" w:rsidRDefault="00A80EC9" w:rsidP="008E3433">
            <w:pPr>
              <w:jc w:val="center"/>
              <w:rPr>
                <w:rFonts w:ascii="Garamond" w:eastAsia="Times New Roman" w:hAnsi="Garamond" w:cs="Times New Roman"/>
                <w:b/>
                <w:color w:val="000000"/>
                <w:lang w:eastAsia="en-GB"/>
              </w:rPr>
            </w:pPr>
            <w:r w:rsidRPr="00977958">
              <w:rPr>
                <w:rFonts w:ascii="Garamond" w:eastAsia="Times New Roman" w:hAnsi="Garamond" w:cs="Times New Roman"/>
                <w:b/>
                <w:color w:val="000000"/>
                <w:lang w:eastAsia="en-GB"/>
              </w:rPr>
              <w:t>Transaction Volume ($bn p.a.)</w:t>
            </w:r>
          </w:p>
        </w:tc>
        <w:tc>
          <w:tcPr>
            <w:tcW w:w="1920" w:type="dxa"/>
            <w:gridSpan w:val="2"/>
            <w:tcBorders>
              <w:top w:val="single" w:sz="4" w:space="0" w:color="auto"/>
              <w:left w:val="nil"/>
              <w:right w:val="nil"/>
            </w:tcBorders>
            <w:shd w:val="clear" w:color="auto" w:fill="auto"/>
            <w:noWrap/>
            <w:vAlign w:val="bottom"/>
          </w:tcPr>
          <w:p w:rsidR="00A80EC9" w:rsidRPr="00977958" w:rsidRDefault="00A80EC9" w:rsidP="008E3433">
            <w:pPr>
              <w:jc w:val="center"/>
              <w:rPr>
                <w:rFonts w:ascii="Garamond" w:eastAsia="Times New Roman" w:hAnsi="Garamond" w:cs="Times New Roman"/>
                <w:b/>
                <w:color w:val="000000"/>
                <w:lang w:eastAsia="en-GB"/>
              </w:rPr>
            </w:pPr>
            <w:r w:rsidRPr="00977958">
              <w:rPr>
                <w:rFonts w:ascii="Garamond" w:eastAsia="Times New Roman" w:hAnsi="Garamond" w:cs="Times New Roman"/>
                <w:b/>
                <w:color w:val="000000"/>
                <w:lang w:eastAsia="en-GB"/>
              </w:rPr>
              <w:t>% Foreign</w:t>
            </w:r>
          </w:p>
        </w:tc>
      </w:tr>
      <w:tr w:rsidR="00A80EC9" w:rsidRPr="00977958" w:rsidTr="008013AB">
        <w:trPr>
          <w:trHeight w:val="288"/>
          <w:jc w:val="center"/>
        </w:trPr>
        <w:tc>
          <w:tcPr>
            <w:tcW w:w="2142" w:type="dxa"/>
            <w:tcBorders>
              <w:top w:val="nil"/>
              <w:left w:val="nil"/>
              <w:bottom w:val="single" w:sz="4" w:space="0" w:color="auto"/>
              <w:right w:val="nil"/>
            </w:tcBorders>
            <w:shd w:val="clear" w:color="auto" w:fill="auto"/>
            <w:noWrap/>
            <w:vAlign w:val="bottom"/>
            <w:hideMark/>
          </w:tcPr>
          <w:p w:rsidR="00A80EC9" w:rsidRPr="00977958" w:rsidRDefault="00A80EC9" w:rsidP="008E3433">
            <w:pPr>
              <w:rPr>
                <w:rFonts w:ascii="Garamond" w:eastAsia="Times New Roman" w:hAnsi="Garamond" w:cs="Times New Roman"/>
                <w:b/>
                <w:color w:val="000000"/>
                <w:lang w:eastAsia="en-GB"/>
              </w:rPr>
            </w:pPr>
            <w:r w:rsidRPr="00977958">
              <w:rPr>
                <w:rFonts w:ascii="Garamond" w:eastAsia="Times New Roman" w:hAnsi="Garamond" w:cs="Times New Roman"/>
                <w:b/>
                <w:color w:val="000000"/>
                <w:lang w:eastAsia="en-GB"/>
              </w:rPr>
              <w:t>City</w:t>
            </w:r>
          </w:p>
        </w:tc>
        <w:tc>
          <w:tcPr>
            <w:tcW w:w="960" w:type="dxa"/>
            <w:tcBorders>
              <w:top w:val="nil"/>
              <w:left w:val="nil"/>
              <w:bottom w:val="single" w:sz="4" w:space="0" w:color="auto"/>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b/>
                <w:color w:val="000000"/>
                <w:lang w:eastAsia="en-GB"/>
              </w:rPr>
            </w:pPr>
            <w:r w:rsidRPr="00977958">
              <w:rPr>
                <w:rFonts w:ascii="Garamond" w:eastAsia="Times New Roman" w:hAnsi="Garamond" w:cs="Times New Roman"/>
                <w:b/>
                <w:color w:val="000000"/>
                <w:lang w:eastAsia="en-GB"/>
              </w:rPr>
              <w:t xml:space="preserve">Mean </w:t>
            </w:r>
          </w:p>
        </w:tc>
        <w:tc>
          <w:tcPr>
            <w:tcW w:w="960" w:type="dxa"/>
            <w:tcBorders>
              <w:top w:val="nil"/>
              <w:left w:val="nil"/>
              <w:bottom w:val="single" w:sz="4" w:space="0" w:color="auto"/>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b/>
                <w:color w:val="000000"/>
                <w:lang w:eastAsia="en-GB"/>
              </w:rPr>
            </w:pPr>
            <w:r w:rsidRPr="00977958">
              <w:rPr>
                <w:rFonts w:ascii="Garamond" w:eastAsia="Times New Roman" w:hAnsi="Garamond" w:cs="Times New Roman"/>
                <w:b/>
                <w:color w:val="000000"/>
                <w:lang w:eastAsia="en-GB"/>
              </w:rPr>
              <w:t>SD</w:t>
            </w:r>
          </w:p>
        </w:tc>
        <w:tc>
          <w:tcPr>
            <w:tcW w:w="960" w:type="dxa"/>
            <w:tcBorders>
              <w:top w:val="nil"/>
              <w:left w:val="nil"/>
              <w:bottom w:val="single" w:sz="4" w:space="0" w:color="auto"/>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b/>
                <w:color w:val="000000"/>
                <w:lang w:eastAsia="en-GB"/>
              </w:rPr>
            </w:pPr>
            <w:r w:rsidRPr="00977958">
              <w:rPr>
                <w:rFonts w:ascii="Garamond" w:eastAsia="Times New Roman" w:hAnsi="Garamond" w:cs="Times New Roman"/>
                <w:b/>
                <w:color w:val="000000"/>
                <w:lang w:eastAsia="en-GB"/>
              </w:rPr>
              <w:t xml:space="preserve">Mean </w:t>
            </w:r>
          </w:p>
        </w:tc>
        <w:tc>
          <w:tcPr>
            <w:tcW w:w="960" w:type="dxa"/>
            <w:tcBorders>
              <w:top w:val="nil"/>
              <w:left w:val="nil"/>
              <w:bottom w:val="single" w:sz="4" w:space="0" w:color="auto"/>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b/>
                <w:color w:val="000000"/>
                <w:lang w:eastAsia="en-GB"/>
              </w:rPr>
            </w:pPr>
            <w:r w:rsidRPr="00977958">
              <w:rPr>
                <w:rFonts w:ascii="Garamond" w:eastAsia="Times New Roman" w:hAnsi="Garamond" w:cs="Times New Roman"/>
                <w:b/>
                <w:color w:val="000000"/>
                <w:lang w:eastAsia="en-GB"/>
              </w:rPr>
              <w:t>SD</w:t>
            </w:r>
          </w:p>
        </w:tc>
        <w:tc>
          <w:tcPr>
            <w:tcW w:w="960" w:type="dxa"/>
            <w:tcBorders>
              <w:top w:val="nil"/>
              <w:left w:val="nil"/>
              <w:bottom w:val="single" w:sz="4" w:space="0" w:color="auto"/>
              <w:right w:val="nil"/>
            </w:tcBorders>
            <w:shd w:val="clear" w:color="auto" w:fill="auto"/>
            <w:noWrap/>
            <w:vAlign w:val="bottom"/>
            <w:hideMark/>
          </w:tcPr>
          <w:p w:rsidR="00A80EC9" w:rsidRPr="00977958" w:rsidRDefault="00A80EC9" w:rsidP="006D2ED8">
            <w:pPr>
              <w:jc w:val="center"/>
              <w:rPr>
                <w:rFonts w:ascii="Garamond" w:eastAsia="Times New Roman" w:hAnsi="Garamond" w:cs="Times New Roman"/>
                <w:b/>
                <w:color w:val="000000"/>
                <w:lang w:eastAsia="en-GB"/>
              </w:rPr>
            </w:pPr>
            <w:r w:rsidRPr="00977958">
              <w:rPr>
                <w:rFonts w:ascii="Garamond" w:eastAsia="Times New Roman" w:hAnsi="Garamond" w:cs="Times New Roman"/>
                <w:b/>
                <w:color w:val="000000"/>
                <w:lang w:eastAsia="en-GB"/>
              </w:rPr>
              <w:t xml:space="preserve">Mean </w:t>
            </w:r>
          </w:p>
        </w:tc>
        <w:tc>
          <w:tcPr>
            <w:tcW w:w="960" w:type="dxa"/>
            <w:tcBorders>
              <w:top w:val="nil"/>
              <w:left w:val="nil"/>
              <w:bottom w:val="single" w:sz="4" w:space="0" w:color="auto"/>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b/>
                <w:color w:val="000000"/>
                <w:lang w:eastAsia="en-GB"/>
              </w:rPr>
            </w:pPr>
            <w:r w:rsidRPr="00977958">
              <w:rPr>
                <w:rFonts w:ascii="Garamond" w:eastAsia="Times New Roman" w:hAnsi="Garamond" w:cs="Times New Roman"/>
                <w:b/>
                <w:color w:val="000000"/>
                <w:lang w:eastAsia="en-GB"/>
              </w:rPr>
              <w:t>SD</w:t>
            </w:r>
          </w:p>
        </w:tc>
      </w:tr>
      <w:tr w:rsidR="00A80EC9" w:rsidRPr="00977958" w:rsidTr="008013AB">
        <w:trPr>
          <w:trHeight w:val="288"/>
          <w:jc w:val="center"/>
        </w:trPr>
        <w:tc>
          <w:tcPr>
            <w:tcW w:w="2142" w:type="dxa"/>
            <w:tcBorders>
              <w:top w:val="single" w:sz="4" w:space="0" w:color="auto"/>
              <w:left w:val="nil"/>
              <w:bottom w:val="single" w:sz="4" w:space="0" w:color="auto"/>
              <w:right w:val="nil"/>
            </w:tcBorders>
            <w:shd w:val="clear" w:color="auto" w:fill="auto"/>
            <w:noWrap/>
            <w:vAlign w:val="bottom"/>
          </w:tcPr>
          <w:p w:rsidR="00A80EC9" w:rsidRPr="00977958" w:rsidRDefault="008013AB" w:rsidP="00F71A14">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 xml:space="preserve">Un-weighted National </w:t>
            </w:r>
            <w:r w:rsidR="00F71A14">
              <w:rPr>
                <w:rFonts w:ascii="Garamond" w:eastAsia="Times New Roman" w:hAnsi="Garamond" w:cs="Times New Roman"/>
                <w:color w:val="000000"/>
                <w:sz w:val="20"/>
                <w:szCs w:val="20"/>
                <w:lang w:eastAsia="en-GB"/>
              </w:rPr>
              <w:t>Figures</w:t>
            </w:r>
          </w:p>
        </w:tc>
        <w:tc>
          <w:tcPr>
            <w:tcW w:w="960" w:type="dxa"/>
            <w:tcBorders>
              <w:top w:val="single" w:sz="4" w:space="0" w:color="auto"/>
              <w:left w:val="nil"/>
              <w:bottom w:val="single" w:sz="4" w:space="0" w:color="auto"/>
              <w:right w:val="nil"/>
            </w:tcBorders>
            <w:shd w:val="clear" w:color="auto" w:fill="auto"/>
            <w:noWrap/>
            <w:vAlign w:val="bottom"/>
          </w:tcPr>
          <w:p w:rsidR="00F71A14" w:rsidRPr="00977958" w:rsidRDefault="008013AB" w:rsidP="00F71A14">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7.9%</w:t>
            </w:r>
          </w:p>
          <w:p w:rsidR="008013AB" w:rsidRPr="00977958" w:rsidRDefault="00F71A14" w:rsidP="008E3433">
            <w:pPr>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(average)</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80EC9" w:rsidRPr="00977958" w:rsidRDefault="00A80EC9" w:rsidP="008E3433">
            <w:pPr>
              <w:jc w:val="center"/>
              <w:rPr>
                <w:rFonts w:ascii="Garamond" w:eastAsia="Times New Roman" w:hAnsi="Garamond" w:cs="Times New Roman"/>
                <w:color w:val="000000"/>
                <w:sz w:val="20"/>
                <w:szCs w:val="20"/>
                <w:lang w:eastAsia="en-GB"/>
              </w:rPr>
            </w:pPr>
          </w:p>
        </w:tc>
        <w:tc>
          <w:tcPr>
            <w:tcW w:w="960" w:type="dxa"/>
            <w:tcBorders>
              <w:top w:val="single" w:sz="4" w:space="0" w:color="auto"/>
              <w:left w:val="single" w:sz="4" w:space="0" w:color="auto"/>
              <w:bottom w:val="single" w:sz="4" w:space="0" w:color="auto"/>
              <w:right w:val="nil"/>
            </w:tcBorders>
            <w:shd w:val="clear" w:color="auto" w:fill="auto"/>
            <w:noWrap/>
            <w:vAlign w:val="bottom"/>
          </w:tcPr>
          <w:p w:rsidR="00A80EC9" w:rsidRPr="00977958" w:rsidRDefault="008013AB"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34.9 (total)</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A80EC9" w:rsidRPr="00977958" w:rsidRDefault="00A80EC9" w:rsidP="008E3433">
            <w:pPr>
              <w:jc w:val="center"/>
              <w:rPr>
                <w:rFonts w:ascii="Garamond" w:eastAsia="Times New Roman" w:hAnsi="Garamond" w:cs="Times New Roman"/>
                <w:color w:val="000000"/>
                <w:sz w:val="20"/>
                <w:szCs w:val="20"/>
                <w:lang w:eastAsia="en-GB"/>
              </w:rPr>
            </w:pPr>
          </w:p>
        </w:tc>
        <w:tc>
          <w:tcPr>
            <w:tcW w:w="960" w:type="dxa"/>
            <w:tcBorders>
              <w:top w:val="single" w:sz="4" w:space="0" w:color="auto"/>
              <w:left w:val="single" w:sz="4" w:space="0" w:color="auto"/>
              <w:bottom w:val="single" w:sz="4" w:space="0" w:color="auto"/>
              <w:right w:val="nil"/>
            </w:tcBorders>
            <w:shd w:val="clear" w:color="auto" w:fill="auto"/>
            <w:noWrap/>
            <w:vAlign w:val="bottom"/>
          </w:tcPr>
          <w:p w:rsidR="00A80EC9" w:rsidRPr="00977958" w:rsidRDefault="008013AB"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8.6%</w:t>
            </w:r>
          </w:p>
          <w:p w:rsidR="008013AB" w:rsidRPr="00977958" w:rsidRDefault="00F71A14" w:rsidP="008E3433">
            <w:pPr>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(average)</w:t>
            </w:r>
          </w:p>
        </w:tc>
        <w:tc>
          <w:tcPr>
            <w:tcW w:w="960" w:type="dxa"/>
            <w:tcBorders>
              <w:top w:val="single" w:sz="4" w:space="0" w:color="auto"/>
              <w:left w:val="nil"/>
              <w:bottom w:val="single" w:sz="4" w:space="0" w:color="auto"/>
              <w:right w:val="nil"/>
            </w:tcBorders>
            <w:shd w:val="clear" w:color="auto" w:fill="auto"/>
            <w:noWrap/>
            <w:vAlign w:val="bottom"/>
          </w:tcPr>
          <w:p w:rsidR="00A80EC9" w:rsidRPr="00977958" w:rsidRDefault="00A80EC9" w:rsidP="008E3433">
            <w:pPr>
              <w:jc w:val="center"/>
              <w:rPr>
                <w:rFonts w:ascii="Garamond" w:eastAsia="Times New Roman" w:hAnsi="Garamond" w:cs="Times New Roman"/>
                <w:color w:val="000000"/>
                <w:sz w:val="20"/>
                <w:szCs w:val="20"/>
                <w:lang w:eastAsia="en-GB"/>
              </w:rPr>
            </w:pPr>
          </w:p>
        </w:tc>
      </w:tr>
      <w:tr w:rsidR="00A80EC9" w:rsidRPr="00977958" w:rsidTr="00B46A30">
        <w:trPr>
          <w:trHeight w:val="288"/>
          <w:jc w:val="center"/>
        </w:trPr>
        <w:tc>
          <w:tcPr>
            <w:tcW w:w="2142" w:type="dxa"/>
            <w:tcBorders>
              <w:top w:val="single" w:sz="4" w:space="0" w:color="auto"/>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Atlanta</w:t>
            </w:r>
          </w:p>
        </w:tc>
        <w:tc>
          <w:tcPr>
            <w:tcW w:w="960" w:type="dxa"/>
            <w:tcBorders>
              <w:top w:val="single" w:sz="4" w:space="0" w:color="auto"/>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7.9%</w:t>
            </w:r>
          </w:p>
        </w:tc>
        <w:tc>
          <w:tcPr>
            <w:tcW w:w="960" w:type="dxa"/>
            <w:tcBorders>
              <w:top w:val="single" w:sz="4" w:space="0" w:color="auto"/>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0.72%</w:t>
            </w:r>
          </w:p>
        </w:tc>
        <w:tc>
          <w:tcPr>
            <w:tcW w:w="960" w:type="dxa"/>
            <w:tcBorders>
              <w:top w:val="single" w:sz="4" w:space="0" w:color="auto"/>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1.44</w:t>
            </w:r>
          </w:p>
        </w:tc>
        <w:tc>
          <w:tcPr>
            <w:tcW w:w="960" w:type="dxa"/>
            <w:tcBorders>
              <w:top w:val="single" w:sz="4" w:space="0" w:color="auto"/>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1.22</w:t>
            </w:r>
          </w:p>
        </w:tc>
        <w:tc>
          <w:tcPr>
            <w:tcW w:w="960" w:type="dxa"/>
            <w:tcBorders>
              <w:top w:val="single" w:sz="4" w:space="0" w:color="auto"/>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7.0%</w:t>
            </w:r>
          </w:p>
        </w:tc>
        <w:tc>
          <w:tcPr>
            <w:tcW w:w="960" w:type="dxa"/>
            <w:tcBorders>
              <w:top w:val="single" w:sz="4" w:space="0" w:color="auto"/>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11%</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Austin</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7.8%</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1.06%</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0.75</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0.77</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7.9%</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13%</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Baltimore</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8.0%</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0.92%</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0.15</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0.15</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3.6%</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Boston</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7.4%</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1.02%</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1.52</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1.37</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28.6%</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27%</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Charlotte</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7.8%</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0.86%</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0.41</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0.35</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3.3%</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Chicago</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7.8%</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0.75%</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2.22</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1.29</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17.6%</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17%</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Cincinnati</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8.3%</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1.18%</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0.12</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0.12</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5.9%</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19%</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Cleveland</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8.5%</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0.84%</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0.12</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0.14</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2.8%</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Columbus</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8.1%</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1.22%</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0.10</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0.07</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5.6%</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15%</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Dallas</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8.1%</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0.84%</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1.10</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0.93</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5.2%</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Denver</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7.9%</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0.92%</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0.76</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0.58</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7.4%</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Detroit</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8.5%</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0.69%</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0.05</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0.07</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5.6%</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14%</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Houston</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8.1%</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0.96%</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2.08</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1.75</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10.3%</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13%</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Indianapolis</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8.5%</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1.04%</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0.20</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0.15</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9.4%</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27%</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Kansas City</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7.8%</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0.71%</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0.09</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0.07</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6.8%</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Las Vegas</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7.8%</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0.91%</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0.32</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0.25</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2.9%</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5%</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Los Angeles</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7.2%</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0.91%</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1.93</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1.46</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5.4%</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Memphis</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8.3%</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1.13%</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0.07</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0.04</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3.9%</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11%</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Miami</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7.6%</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0.87%</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0.61</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0.38</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16.1%</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18%</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Minneapolis</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8.2%</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1.10%</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0.42</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0.32</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10.1%</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13%</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New York</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6.9%</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0.96%</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10.28</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8.38</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20.6%</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12%</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Norfolk</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8.1%</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0.78%</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0.03</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0.04</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0.5%</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Oklahoma City</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8.6%</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0.83%</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0.06</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0.04</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Orlando</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8.1%</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0.95%</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0.23</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0.19</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15.8%</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20%</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Philadelphia</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7.8%</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0.94%</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0.46</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0.29</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15.0%</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19%</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Phoenix</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7.8%</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0.92%</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0.71</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0.57</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7.5%</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5%</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Pittsburgh</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7.9%</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0.74%</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0.13</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0.12</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16.1%</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29%</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Portland</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7.5%</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0.63%</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0.30</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0.21</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8.5%</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15%</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Raleigh/Durham</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7.8%</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0.72%</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0.11</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0.12</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7.1%</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16%</w:t>
            </w:r>
          </w:p>
        </w:tc>
      </w:tr>
      <w:tr w:rsidR="00A80EC9"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A80EC9" w:rsidRPr="00977958" w:rsidRDefault="00A80EC9" w:rsidP="008E3433">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Sacramento</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8.0%</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1.01%</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0.31</w:t>
            </w:r>
          </w:p>
        </w:tc>
        <w:tc>
          <w:tcPr>
            <w:tcW w:w="960" w:type="dxa"/>
            <w:tcBorders>
              <w:top w:val="nil"/>
              <w:left w:val="nil"/>
              <w:bottom w:val="nil"/>
              <w:right w:val="single" w:sz="4" w:space="0" w:color="auto"/>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0.30</w:t>
            </w:r>
          </w:p>
        </w:tc>
        <w:tc>
          <w:tcPr>
            <w:tcW w:w="960" w:type="dxa"/>
            <w:tcBorders>
              <w:top w:val="nil"/>
              <w:left w:val="single" w:sz="4" w:space="0" w:color="auto"/>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2.1%</w:t>
            </w:r>
          </w:p>
        </w:tc>
        <w:tc>
          <w:tcPr>
            <w:tcW w:w="960" w:type="dxa"/>
            <w:tcBorders>
              <w:top w:val="nil"/>
              <w:left w:val="nil"/>
              <w:bottom w:val="nil"/>
              <w:right w:val="nil"/>
            </w:tcBorders>
            <w:shd w:val="clear" w:color="auto" w:fill="auto"/>
            <w:noWrap/>
            <w:vAlign w:val="bottom"/>
            <w:hideMark/>
          </w:tcPr>
          <w:p w:rsidR="00A80EC9" w:rsidRPr="00977958" w:rsidRDefault="00A80EC9" w:rsidP="008E3433">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5%</w:t>
            </w:r>
          </w:p>
        </w:tc>
      </w:tr>
      <w:tr w:rsidR="006D2ED8" w:rsidRPr="00977958" w:rsidTr="006D2ED8">
        <w:trPr>
          <w:trHeight w:val="288"/>
          <w:jc w:val="center"/>
        </w:trPr>
        <w:tc>
          <w:tcPr>
            <w:tcW w:w="2142" w:type="dxa"/>
            <w:tcBorders>
              <w:top w:val="nil"/>
              <w:left w:val="nil"/>
              <w:bottom w:val="nil"/>
              <w:right w:val="nil"/>
            </w:tcBorders>
            <w:shd w:val="clear" w:color="auto" w:fill="auto"/>
            <w:noWrap/>
            <w:vAlign w:val="bottom"/>
            <w:hideMark/>
          </w:tcPr>
          <w:p w:rsidR="006D2ED8" w:rsidRPr="00977958" w:rsidRDefault="006D2ED8" w:rsidP="006D2ED8">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San Antonio</w:t>
            </w:r>
          </w:p>
        </w:tc>
        <w:tc>
          <w:tcPr>
            <w:tcW w:w="960" w:type="dxa"/>
            <w:tcBorders>
              <w:top w:val="nil"/>
              <w:left w:val="nil"/>
              <w:bottom w:val="nil"/>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8.4%</w:t>
            </w:r>
          </w:p>
        </w:tc>
        <w:tc>
          <w:tcPr>
            <w:tcW w:w="960" w:type="dxa"/>
            <w:tcBorders>
              <w:top w:val="nil"/>
              <w:left w:val="nil"/>
              <w:bottom w:val="nil"/>
              <w:right w:val="single" w:sz="4" w:space="0" w:color="auto"/>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1.20%</w:t>
            </w:r>
          </w:p>
        </w:tc>
        <w:tc>
          <w:tcPr>
            <w:tcW w:w="960" w:type="dxa"/>
            <w:tcBorders>
              <w:top w:val="nil"/>
              <w:left w:val="single" w:sz="4" w:space="0" w:color="auto"/>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0.21</w:t>
            </w:r>
          </w:p>
        </w:tc>
        <w:tc>
          <w:tcPr>
            <w:tcW w:w="960" w:type="dxa"/>
            <w:tcBorders>
              <w:top w:val="nil"/>
              <w:left w:val="nil"/>
              <w:bottom w:val="nil"/>
              <w:right w:val="single" w:sz="4" w:space="0" w:color="auto"/>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0.11</w:t>
            </w:r>
          </w:p>
        </w:tc>
        <w:tc>
          <w:tcPr>
            <w:tcW w:w="960" w:type="dxa"/>
            <w:tcBorders>
              <w:top w:val="nil"/>
              <w:left w:val="single" w:sz="4" w:space="0" w:color="auto"/>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1.9%</w:t>
            </w:r>
          </w:p>
        </w:tc>
        <w:tc>
          <w:tcPr>
            <w:tcW w:w="960" w:type="dxa"/>
            <w:tcBorders>
              <w:top w:val="nil"/>
              <w:left w:val="nil"/>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4%</w:t>
            </w:r>
          </w:p>
        </w:tc>
      </w:tr>
      <w:tr w:rsidR="006D2ED8" w:rsidRPr="00977958" w:rsidTr="006D2ED8">
        <w:trPr>
          <w:trHeight w:val="288"/>
          <w:jc w:val="center"/>
        </w:trPr>
        <w:tc>
          <w:tcPr>
            <w:tcW w:w="2142" w:type="dxa"/>
            <w:tcBorders>
              <w:top w:val="nil"/>
              <w:left w:val="nil"/>
              <w:bottom w:val="nil"/>
              <w:right w:val="nil"/>
            </w:tcBorders>
            <w:shd w:val="clear" w:color="auto" w:fill="auto"/>
            <w:noWrap/>
            <w:vAlign w:val="bottom"/>
            <w:hideMark/>
          </w:tcPr>
          <w:p w:rsidR="006D2ED8" w:rsidRPr="00977958" w:rsidRDefault="006D2ED8" w:rsidP="006D2ED8">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San Diego</w:t>
            </w:r>
          </w:p>
        </w:tc>
        <w:tc>
          <w:tcPr>
            <w:tcW w:w="960" w:type="dxa"/>
            <w:tcBorders>
              <w:top w:val="nil"/>
              <w:left w:val="nil"/>
              <w:bottom w:val="nil"/>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7.5%</w:t>
            </w:r>
          </w:p>
        </w:tc>
        <w:tc>
          <w:tcPr>
            <w:tcW w:w="960" w:type="dxa"/>
            <w:tcBorders>
              <w:top w:val="nil"/>
              <w:left w:val="nil"/>
              <w:bottom w:val="nil"/>
              <w:right w:val="single" w:sz="4" w:space="0" w:color="auto"/>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0.94%</w:t>
            </w:r>
          </w:p>
        </w:tc>
        <w:tc>
          <w:tcPr>
            <w:tcW w:w="960" w:type="dxa"/>
            <w:tcBorders>
              <w:top w:val="nil"/>
              <w:left w:val="single" w:sz="4" w:space="0" w:color="auto"/>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1.24</w:t>
            </w:r>
          </w:p>
        </w:tc>
        <w:tc>
          <w:tcPr>
            <w:tcW w:w="960" w:type="dxa"/>
            <w:tcBorders>
              <w:top w:val="nil"/>
              <w:left w:val="nil"/>
              <w:bottom w:val="nil"/>
              <w:right w:val="single" w:sz="4" w:space="0" w:color="auto"/>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1.00</w:t>
            </w:r>
          </w:p>
        </w:tc>
        <w:tc>
          <w:tcPr>
            <w:tcW w:w="960" w:type="dxa"/>
            <w:tcBorders>
              <w:top w:val="nil"/>
              <w:left w:val="single" w:sz="4" w:space="0" w:color="auto"/>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7.6%</w:t>
            </w:r>
          </w:p>
        </w:tc>
        <w:tc>
          <w:tcPr>
            <w:tcW w:w="960" w:type="dxa"/>
            <w:tcBorders>
              <w:top w:val="nil"/>
              <w:left w:val="nil"/>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13%</w:t>
            </w:r>
          </w:p>
        </w:tc>
      </w:tr>
      <w:tr w:rsidR="006D2ED8" w:rsidRPr="00977958" w:rsidTr="006D2ED8">
        <w:trPr>
          <w:trHeight w:val="288"/>
          <w:jc w:val="center"/>
        </w:trPr>
        <w:tc>
          <w:tcPr>
            <w:tcW w:w="2142" w:type="dxa"/>
            <w:tcBorders>
              <w:top w:val="nil"/>
              <w:left w:val="nil"/>
              <w:bottom w:val="nil"/>
              <w:right w:val="nil"/>
            </w:tcBorders>
            <w:shd w:val="clear" w:color="auto" w:fill="auto"/>
            <w:noWrap/>
            <w:vAlign w:val="bottom"/>
            <w:hideMark/>
          </w:tcPr>
          <w:p w:rsidR="006D2ED8" w:rsidRPr="00977958" w:rsidRDefault="006D2ED8" w:rsidP="006D2ED8">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San Francisco</w:t>
            </w:r>
          </w:p>
        </w:tc>
        <w:tc>
          <w:tcPr>
            <w:tcW w:w="960" w:type="dxa"/>
            <w:tcBorders>
              <w:top w:val="nil"/>
              <w:left w:val="nil"/>
              <w:bottom w:val="nil"/>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7.2%</w:t>
            </w:r>
          </w:p>
        </w:tc>
        <w:tc>
          <w:tcPr>
            <w:tcW w:w="960" w:type="dxa"/>
            <w:tcBorders>
              <w:top w:val="nil"/>
              <w:left w:val="nil"/>
              <w:bottom w:val="nil"/>
              <w:right w:val="single" w:sz="4" w:space="0" w:color="auto"/>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0.96%</w:t>
            </w:r>
          </w:p>
        </w:tc>
        <w:tc>
          <w:tcPr>
            <w:tcW w:w="960" w:type="dxa"/>
            <w:tcBorders>
              <w:top w:val="nil"/>
              <w:left w:val="single" w:sz="4" w:space="0" w:color="auto"/>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1.93</w:t>
            </w:r>
          </w:p>
        </w:tc>
        <w:tc>
          <w:tcPr>
            <w:tcW w:w="960" w:type="dxa"/>
            <w:tcBorders>
              <w:top w:val="nil"/>
              <w:left w:val="nil"/>
              <w:bottom w:val="nil"/>
              <w:right w:val="single" w:sz="4" w:space="0" w:color="auto"/>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2.41</w:t>
            </w:r>
          </w:p>
        </w:tc>
        <w:tc>
          <w:tcPr>
            <w:tcW w:w="960" w:type="dxa"/>
            <w:tcBorders>
              <w:top w:val="nil"/>
              <w:left w:val="single" w:sz="4" w:space="0" w:color="auto"/>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24.0%</w:t>
            </w:r>
          </w:p>
        </w:tc>
        <w:tc>
          <w:tcPr>
            <w:tcW w:w="960" w:type="dxa"/>
            <w:tcBorders>
              <w:top w:val="nil"/>
              <w:left w:val="nil"/>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23%</w:t>
            </w:r>
          </w:p>
        </w:tc>
      </w:tr>
      <w:tr w:rsidR="006D2ED8" w:rsidRPr="00977958" w:rsidTr="006D2ED8">
        <w:trPr>
          <w:trHeight w:val="288"/>
          <w:jc w:val="center"/>
        </w:trPr>
        <w:tc>
          <w:tcPr>
            <w:tcW w:w="2142" w:type="dxa"/>
            <w:tcBorders>
              <w:top w:val="nil"/>
              <w:left w:val="nil"/>
              <w:bottom w:val="nil"/>
              <w:right w:val="nil"/>
            </w:tcBorders>
            <w:shd w:val="clear" w:color="auto" w:fill="auto"/>
            <w:noWrap/>
            <w:vAlign w:val="bottom"/>
            <w:hideMark/>
          </w:tcPr>
          <w:p w:rsidR="006D2ED8" w:rsidRPr="00977958" w:rsidRDefault="006D2ED8" w:rsidP="006D2ED8">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Seattle</w:t>
            </w:r>
          </w:p>
        </w:tc>
        <w:tc>
          <w:tcPr>
            <w:tcW w:w="960" w:type="dxa"/>
            <w:tcBorders>
              <w:top w:val="nil"/>
              <w:left w:val="nil"/>
              <w:bottom w:val="nil"/>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7.5%</w:t>
            </w:r>
          </w:p>
        </w:tc>
        <w:tc>
          <w:tcPr>
            <w:tcW w:w="960" w:type="dxa"/>
            <w:tcBorders>
              <w:top w:val="nil"/>
              <w:left w:val="nil"/>
              <w:bottom w:val="nil"/>
              <w:right w:val="single" w:sz="4" w:space="0" w:color="auto"/>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1.15%</w:t>
            </w:r>
          </w:p>
        </w:tc>
        <w:tc>
          <w:tcPr>
            <w:tcW w:w="960" w:type="dxa"/>
            <w:tcBorders>
              <w:top w:val="nil"/>
              <w:left w:val="single" w:sz="4" w:space="0" w:color="auto"/>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0.99</w:t>
            </w:r>
          </w:p>
        </w:tc>
        <w:tc>
          <w:tcPr>
            <w:tcW w:w="960" w:type="dxa"/>
            <w:tcBorders>
              <w:top w:val="nil"/>
              <w:left w:val="nil"/>
              <w:bottom w:val="nil"/>
              <w:right w:val="single" w:sz="4" w:space="0" w:color="auto"/>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1.17</w:t>
            </w:r>
          </w:p>
        </w:tc>
        <w:tc>
          <w:tcPr>
            <w:tcW w:w="960" w:type="dxa"/>
            <w:tcBorders>
              <w:top w:val="nil"/>
              <w:left w:val="single" w:sz="4" w:space="0" w:color="auto"/>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7.4%</w:t>
            </w:r>
          </w:p>
        </w:tc>
        <w:tc>
          <w:tcPr>
            <w:tcW w:w="960" w:type="dxa"/>
            <w:tcBorders>
              <w:top w:val="nil"/>
              <w:left w:val="nil"/>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9%</w:t>
            </w:r>
          </w:p>
        </w:tc>
      </w:tr>
      <w:tr w:rsidR="006D2ED8" w:rsidRPr="00977958" w:rsidTr="006D2ED8">
        <w:trPr>
          <w:trHeight w:val="288"/>
          <w:jc w:val="center"/>
        </w:trPr>
        <w:tc>
          <w:tcPr>
            <w:tcW w:w="2142" w:type="dxa"/>
            <w:tcBorders>
              <w:top w:val="nil"/>
              <w:left w:val="nil"/>
              <w:bottom w:val="nil"/>
              <w:right w:val="nil"/>
            </w:tcBorders>
            <w:shd w:val="clear" w:color="auto" w:fill="auto"/>
            <w:noWrap/>
            <w:vAlign w:val="bottom"/>
            <w:hideMark/>
          </w:tcPr>
          <w:p w:rsidR="006D2ED8" w:rsidRPr="00977958" w:rsidRDefault="006D2ED8" w:rsidP="006D2ED8">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St Louis</w:t>
            </w:r>
          </w:p>
        </w:tc>
        <w:tc>
          <w:tcPr>
            <w:tcW w:w="960" w:type="dxa"/>
            <w:tcBorders>
              <w:top w:val="nil"/>
              <w:left w:val="nil"/>
              <w:bottom w:val="nil"/>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8.5%</w:t>
            </w:r>
          </w:p>
        </w:tc>
        <w:tc>
          <w:tcPr>
            <w:tcW w:w="960" w:type="dxa"/>
            <w:tcBorders>
              <w:top w:val="nil"/>
              <w:left w:val="nil"/>
              <w:bottom w:val="nil"/>
              <w:right w:val="single" w:sz="4" w:space="0" w:color="auto"/>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1.02%</w:t>
            </w:r>
          </w:p>
        </w:tc>
        <w:tc>
          <w:tcPr>
            <w:tcW w:w="960" w:type="dxa"/>
            <w:tcBorders>
              <w:top w:val="nil"/>
              <w:left w:val="single" w:sz="4" w:space="0" w:color="auto"/>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0.25</w:t>
            </w:r>
          </w:p>
        </w:tc>
        <w:tc>
          <w:tcPr>
            <w:tcW w:w="960" w:type="dxa"/>
            <w:tcBorders>
              <w:top w:val="nil"/>
              <w:left w:val="nil"/>
              <w:bottom w:val="nil"/>
              <w:right w:val="single" w:sz="4" w:space="0" w:color="auto"/>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0.22</w:t>
            </w:r>
          </w:p>
        </w:tc>
        <w:tc>
          <w:tcPr>
            <w:tcW w:w="960" w:type="dxa"/>
            <w:tcBorders>
              <w:top w:val="nil"/>
              <w:left w:val="single" w:sz="4" w:space="0" w:color="auto"/>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5.0%</w:t>
            </w:r>
          </w:p>
        </w:tc>
        <w:tc>
          <w:tcPr>
            <w:tcW w:w="960" w:type="dxa"/>
            <w:tcBorders>
              <w:top w:val="nil"/>
              <w:left w:val="nil"/>
              <w:bottom w:val="nil"/>
              <w:right w:val="nil"/>
            </w:tcBorders>
            <w:shd w:val="clear" w:color="auto" w:fill="auto"/>
            <w:noWrap/>
            <w:vAlign w:val="bottom"/>
          </w:tcPr>
          <w:p w:rsidR="006D2ED8" w:rsidRPr="00977958" w:rsidRDefault="006D2ED8" w:rsidP="006D2ED8">
            <w:pPr>
              <w:jc w:val="center"/>
              <w:rPr>
                <w:rFonts w:ascii="Garamond" w:eastAsia="Times New Roman" w:hAnsi="Garamond" w:cs="Times New Roman"/>
                <w:color w:val="000000"/>
                <w:sz w:val="20"/>
                <w:szCs w:val="20"/>
                <w:lang w:eastAsia="en-GB"/>
              </w:rPr>
            </w:pPr>
            <w:r>
              <w:rPr>
                <w:rFonts w:ascii="Garamond" w:eastAsia="Times New Roman" w:hAnsi="Garamond" w:cs="Times New Roman"/>
                <w:color w:val="000000"/>
                <w:sz w:val="20"/>
                <w:szCs w:val="20"/>
                <w:lang w:eastAsia="en-GB"/>
              </w:rPr>
              <w:t>11%</w:t>
            </w:r>
          </w:p>
        </w:tc>
      </w:tr>
      <w:tr w:rsidR="006D2ED8" w:rsidRPr="00977958" w:rsidTr="008E3433">
        <w:trPr>
          <w:trHeight w:val="288"/>
          <w:jc w:val="center"/>
        </w:trPr>
        <w:tc>
          <w:tcPr>
            <w:tcW w:w="2142" w:type="dxa"/>
            <w:tcBorders>
              <w:top w:val="nil"/>
              <w:left w:val="nil"/>
              <w:bottom w:val="nil"/>
              <w:right w:val="nil"/>
            </w:tcBorders>
            <w:shd w:val="clear" w:color="auto" w:fill="auto"/>
            <w:noWrap/>
            <w:vAlign w:val="bottom"/>
            <w:hideMark/>
          </w:tcPr>
          <w:p w:rsidR="006D2ED8" w:rsidRPr="00977958" w:rsidRDefault="006D2ED8" w:rsidP="006D2ED8">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Tampa</w:t>
            </w:r>
          </w:p>
        </w:tc>
        <w:tc>
          <w:tcPr>
            <w:tcW w:w="960" w:type="dxa"/>
            <w:tcBorders>
              <w:top w:val="nil"/>
              <w:left w:val="nil"/>
              <w:bottom w:val="nil"/>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8.3%</w:t>
            </w:r>
          </w:p>
        </w:tc>
        <w:tc>
          <w:tcPr>
            <w:tcW w:w="960" w:type="dxa"/>
            <w:tcBorders>
              <w:top w:val="nil"/>
              <w:left w:val="nil"/>
              <w:bottom w:val="nil"/>
              <w:right w:val="single" w:sz="4" w:space="0" w:color="auto"/>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0.99%</w:t>
            </w:r>
          </w:p>
        </w:tc>
        <w:tc>
          <w:tcPr>
            <w:tcW w:w="960" w:type="dxa"/>
            <w:tcBorders>
              <w:top w:val="nil"/>
              <w:left w:val="single" w:sz="4" w:space="0" w:color="auto"/>
              <w:bottom w:val="nil"/>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0.29</w:t>
            </w:r>
          </w:p>
        </w:tc>
        <w:tc>
          <w:tcPr>
            <w:tcW w:w="960" w:type="dxa"/>
            <w:tcBorders>
              <w:top w:val="nil"/>
              <w:left w:val="nil"/>
              <w:bottom w:val="nil"/>
              <w:right w:val="single" w:sz="4" w:space="0" w:color="auto"/>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0.25</w:t>
            </w:r>
          </w:p>
        </w:tc>
        <w:tc>
          <w:tcPr>
            <w:tcW w:w="960" w:type="dxa"/>
            <w:tcBorders>
              <w:top w:val="nil"/>
              <w:left w:val="single" w:sz="4" w:space="0" w:color="auto"/>
              <w:bottom w:val="nil"/>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9.0%</w:t>
            </w:r>
          </w:p>
        </w:tc>
        <w:tc>
          <w:tcPr>
            <w:tcW w:w="960" w:type="dxa"/>
            <w:tcBorders>
              <w:top w:val="nil"/>
              <w:left w:val="nil"/>
              <w:bottom w:val="nil"/>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9%</w:t>
            </w:r>
          </w:p>
        </w:tc>
      </w:tr>
      <w:tr w:rsidR="006D2ED8" w:rsidRPr="00977958" w:rsidTr="00B46A30">
        <w:trPr>
          <w:trHeight w:val="288"/>
          <w:jc w:val="center"/>
        </w:trPr>
        <w:tc>
          <w:tcPr>
            <w:tcW w:w="2142" w:type="dxa"/>
            <w:tcBorders>
              <w:top w:val="nil"/>
              <w:left w:val="nil"/>
              <w:right w:val="nil"/>
            </w:tcBorders>
            <w:shd w:val="clear" w:color="auto" w:fill="auto"/>
            <w:noWrap/>
            <w:vAlign w:val="bottom"/>
            <w:hideMark/>
          </w:tcPr>
          <w:p w:rsidR="006D2ED8" w:rsidRPr="00977958" w:rsidRDefault="006D2ED8" w:rsidP="006D2ED8">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Tucson</w:t>
            </w:r>
          </w:p>
        </w:tc>
        <w:tc>
          <w:tcPr>
            <w:tcW w:w="960" w:type="dxa"/>
            <w:tcBorders>
              <w:top w:val="nil"/>
              <w:left w:val="nil"/>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8.0%</w:t>
            </w:r>
          </w:p>
        </w:tc>
        <w:tc>
          <w:tcPr>
            <w:tcW w:w="960" w:type="dxa"/>
            <w:tcBorders>
              <w:top w:val="nil"/>
              <w:left w:val="nil"/>
              <w:right w:val="single" w:sz="4" w:space="0" w:color="auto"/>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0.98%</w:t>
            </w:r>
          </w:p>
        </w:tc>
        <w:tc>
          <w:tcPr>
            <w:tcW w:w="960" w:type="dxa"/>
            <w:tcBorders>
              <w:top w:val="nil"/>
              <w:left w:val="single" w:sz="4" w:space="0" w:color="auto"/>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0.06</w:t>
            </w:r>
          </w:p>
        </w:tc>
        <w:tc>
          <w:tcPr>
            <w:tcW w:w="960" w:type="dxa"/>
            <w:tcBorders>
              <w:top w:val="nil"/>
              <w:left w:val="nil"/>
              <w:right w:val="single" w:sz="4" w:space="0" w:color="auto"/>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0.05</w:t>
            </w:r>
          </w:p>
        </w:tc>
        <w:tc>
          <w:tcPr>
            <w:tcW w:w="960" w:type="dxa"/>
            <w:tcBorders>
              <w:top w:val="nil"/>
              <w:left w:val="single" w:sz="4" w:space="0" w:color="auto"/>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1.9%</w:t>
            </w:r>
          </w:p>
        </w:tc>
        <w:tc>
          <w:tcPr>
            <w:tcW w:w="960" w:type="dxa"/>
            <w:tcBorders>
              <w:top w:val="nil"/>
              <w:left w:val="nil"/>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w:t>
            </w:r>
          </w:p>
        </w:tc>
      </w:tr>
      <w:tr w:rsidR="006D2ED8" w:rsidRPr="00977958" w:rsidTr="00B46A30">
        <w:trPr>
          <w:trHeight w:val="288"/>
          <w:jc w:val="center"/>
        </w:trPr>
        <w:tc>
          <w:tcPr>
            <w:tcW w:w="2142" w:type="dxa"/>
            <w:tcBorders>
              <w:top w:val="nil"/>
              <w:left w:val="nil"/>
              <w:bottom w:val="single" w:sz="4" w:space="0" w:color="auto"/>
              <w:right w:val="nil"/>
            </w:tcBorders>
            <w:shd w:val="clear" w:color="auto" w:fill="auto"/>
            <w:noWrap/>
            <w:vAlign w:val="bottom"/>
            <w:hideMark/>
          </w:tcPr>
          <w:p w:rsidR="006D2ED8" w:rsidRPr="00977958" w:rsidRDefault="006D2ED8" w:rsidP="006D2ED8">
            <w:pP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Washington</w:t>
            </w:r>
          </w:p>
        </w:tc>
        <w:tc>
          <w:tcPr>
            <w:tcW w:w="960" w:type="dxa"/>
            <w:tcBorders>
              <w:top w:val="nil"/>
              <w:left w:val="nil"/>
              <w:bottom w:val="single" w:sz="4" w:space="0" w:color="auto"/>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7.1%</w:t>
            </w:r>
          </w:p>
        </w:tc>
        <w:tc>
          <w:tcPr>
            <w:tcW w:w="960" w:type="dxa"/>
            <w:tcBorders>
              <w:top w:val="nil"/>
              <w:left w:val="nil"/>
              <w:bottom w:val="single" w:sz="4" w:space="0" w:color="auto"/>
              <w:right w:val="single" w:sz="4" w:space="0" w:color="auto"/>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1.00%</w:t>
            </w:r>
          </w:p>
        </w:tc>
        <w:tc>
          <w:tcPr>
            <w:tcW w:w="960" w:type="dxa"/>
            <w:tcBorders>
              <w:top w:val="nil"/>
              <w:left w:val="single" w:sz="4" w:space="0" w:color="auto"/>
              <w:bottom w:val="single" w:sz="4" w:space="0" w:color="auto"/>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2.79</w:t>
            </w:r>
          </w:p>
        </w:tc>
        <w:tc>
          <w:tcPr>
            <w:tcW w:w="960" w:type="dxa"/>
            <w:tcBorders>
              <w:top w:val="nil"/>
              <w:left w:val="nil"/>
              <w:bottom w:val="single" w:sz="4" w:space="0" w:color="auto"/>
              <w:right w:val="single" w:sz="4" w:space="0" w:color="auto"/>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1.50</w:t>
            </w:r>
          </w:p>
        </w:tc>
        <w:tc>
          <w:tcPr>
            <w:tcW w:w="960" w:type="dxa"/>
            <w:tcBorders>
              <w:top w:val="nil"/>
              <w:left w:val="single" w:sz="4" w:space="0" w:color="auto"/>
              <w:bottom w:val="single" w:sz="4" w:space="0" w:color="auto"/>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21.5%</w:t>
            </w:r>
          </w:p>
        </w:tc>
        <w:tc>
          <w:tcPr>
            <w:tcW w:w="960" w:type="dxa"/>
            <w:tcBorders>
              <w:top w:val="nil"/>
              <w:left w:val="nil"/>
              <w:bottom w:val="single" w:sz="4" w:space="0" w:color="auto"/>
              <w:right w:val="nil"/>
            </w:tcBorders>
            <w:shd w:val="clear" w:color="auto" w:fill="auto"/>
            <w:noWrap/>
            <w:vAlign w:val="bottom"/>
            <w:hideMark/>
          </w:tcPr>
          <w:p w:rsidR="006D2ED8" w:rsidRPr="00977958" w:rsidRDefault="006D2ED8" w:rsidP="006D2ED8">
            <w:pPr>
              <w:jc w:val="center"/>
              <w:rPr>
                <w:rFonts w:ascii="Garamond" w:eastAsia="Times New Roman" w:hAnsi="Garamond" w:cs="Times New Roman"/>
                <w:color w:val="000000"/>
                <w:sz w:val="20"/>
                <w:szCs w:val="20"/>
                <w:lang w:eastAsia="en-GB"/>
              </w:rPr>
            </w:pPr>
            <w:r w:rsidRPr="00977958">
              <w:rPr>
                <w:rFonts w:ascii="Garamond" w:eastAsia="Times New Roman" w:hAnsi="Garamond" w:cs="Times New Roman"/>
                <w:color w:val="000000"/>
                <w:sz w:val="20"/>
                <w:szCs w:val="20"/>
                <w:lang w:eastAsia="en-GB"/>
              </w:rPr>
              <w:t>11%</w:t>
            </w:r>
          </w:p>
        </w:tc>
      </w:tr>
    </w:tbl>
    <w:p w:rsidR="00A80EC9" w:rsidRPr="00977958" w:rsidRDefault="00122B76" w:rsidP="00122B76">
      <w:pPr>
        <w:pStyle w:val="NoSpacing"/>
        <w:spacing w:line="360" w:lineRule="auto"/>
        <w:rPr>
          <w:rFonts w:ascii="Garamond" w:hAnsi="Garamond"/>
          <w:sz w:val="24"/>
          <w:szCs w:val="24"/>
        </w:rPr>
      </w:pPr>
      <w:r>
        <w:rPr>
          <w:rFonts w:ascii="Garamond" w:hAnsi="Garamond"/>
          <w:sz w:val="20"/>
          <w:szCs w:val="20"/>
        </w:rPr>
        <w:t xml:space="preserve">           </w:t>
      </w:r>
      <w:r w:rsidR="00A80EC9" w:rsidRPr="00977958">
        <w:rPr>
          <w:rFonts w:ascii="Garamond" w:hAnsi="Garamond"/>
          <w:sz w:val="20"/>
          <w:szCs w:val="20"/>
        </w:rPr>
        <w:t>Source: RCA database.</w:t>
      </w:r>
      <w:r w:rsidR="00A80EC9" w:rsidRPr="00977958">
        <w:rPr>
          <w:rFonts w:ascii="Garamond" w:hAnsi="Garamond"/>
          <w:sz w:val="24"/>
          <w:szCs w:val="24"/>
        </w:rPr>
        <w:br w:type="page"/>
      </w:r>
    </w:p>
    <w:p w:rsidR="007E1902" w:rsidRPr="00977958" w:rsidRDefault="007E1902" w:rsidP="007E1902">
      <w:pPr>
        <w:spacing w:line="360" w:lineRule="auto"/>
        <w:jc w:val="both"/>
        <w:rPr>
          <w:rFonts w:ascii="Garamond" w:hAnsi="Garamond"/>
          <w:sz w:val="24"/>
          <w:szCs w:val="24"/>
          <w:lang w:val="en-US"/>
        </w:rPr>
      </w:pPr>
      <w:r w:rsidRPr="00977958">
        <w:rPr>
          <w:rFonts w:ascii="Garamond" w:hAnsi="Garamond"/>
          <w:sz w:val="24"/>
          <w:szCs w:val="24"/>
          <w:lang w:val="en-US"/>
        </w:rPr>
        <w:lastRenderedPageBreak/>
        <w:t>Turning to capital flows, a similar pattern emerges.  In the sample period, office trans</w:t>
      </w:r>
      <w:r w:rsidR="00031A2E">
        <w:rPr>
          <w:rFonts w:ascii="Garamond" w:hAnsi="Garamond"/>
          <w:sz w:val="24"/>
          <w:szCs w:val="24"/>
          <w:lang w:val="en-US"/>
        </w:rPr>
        <w:t>actions worth approximately $635</w:t>
      </w:r>
      <w:r w:rsidR="005D1264">
        <w:rPr>
          <w:rFonts w:ascii="Garamond" w:hAnsi="Garamond"/>
          <w:sz w:val="24"/>
          <w:szCs w:val="24"/>
          <w:lang w:val="en-US"/>
        </w:rPr>
        <w:t xml:space="preserve"> billion were recorded (of which the 38 cities in the sample accounted for </w:t>
      </w:r>
      <w:r w:rsidR="00CE4D9F">
        <w:rPr>
          <w:rFonts w:ascii="Garamond" w:hAnsi="Garamond"/>
          <w:sz w:val="24"/>
          <w:szCs w:val="24"/>
          <w:lang w:val="en-US"/>
        </w:rPr>
        <w:t xml:space="preserve">approximately </w:t>
      </w:r>
      <w:r w:rsidR="005D1264">
        <w:rPr>
          <w:rFonts w:ascii="Garamond" w:hAnsi="Garamond"/>
          <w:sz w:val="24"/>
          <w:szCs w:val="24"/>
          <w:lang w:val="en-US"/>
        </w:rPr>
        <w:t>$550 billion).</w:t>
      </w:r>
      <w:r w:rsidRPr="00977958">
        <w:rPr>
          <w:rFonts w:ascii="Garamond" w:hAnsi="Garamond"/>
          <w:sz w:val="24"/>
          <w:szCs w:val="24"/>
          <w:lang w:val="en-US"/>
        </w:rPr>
        <w:t xml:space="preserve">  Whilst this averaged at nearly $5</w:t>
      </w:r>
      <w:r w:rsidR="00031A2E">
        <w:rPr>
          <w:rFonts w:ascii="Garamond" w:hAnsi="Garamond"/>
          <w:sz w:val="24"/>
          <w:szCs w:val="24"/>
          <w:lang w:val="en-US"/>
        </w:rPr>
        <w:t>0</w:t>
      </w:r>
      <w:r w:rsidRPr="00977958">
        <w:rPr>
          <w:rFonts w:ascii="Garamond" w:hAnsi="Garamond"/>
          <w:sz w:val="24"/>
          <w:szCs w:val="24"/>
          <w:lang w:val="en-US"/>
        </w:rPr>
        <w:t xml:space="preserve"> billion per annum, there were notable variations in transaction volume over the real estate cycle.  Peaking in 2007 at </w:t>
      </w:r>
      <w:r w:rsidR="00031A2E">
        <w:rPr>
          <w:rFonts w:ascii="Garamond" w:hAnsi="Garamond"/>
          <w:sz w:val="24"/>
          <w:szCs w:val="24"/>
          <w:lang w:val="en-US"/>
        </w:rPr>
        <w:t>c</w:t>
      </w:r>
      <w:r w:rsidRPr="00977958">
        <w:rPr>
          <w:rFonts w:ascii="Garamond" w:hAnsi="Garamond"/>
          <w:sz w:val="24"/>
          <w:szCs w:val="24"/>
          <w:lang w:val="en-US"/>
        </w:rPr>
        <w:t>$</w:t>
      </w:r>
      <w:r w:rsidR="00031A2E">
        <w:rPr>
          <w:rFonts w:ascii="Garamond" w:hAnsi="Garamond"/>
          <w:sz w:val="24"/>
          <w:szCs w:val="24"/>
          <w:lang w:val="en-US"/>
        </w:rPr>
        <w:t>112.5</w:t>
      </w:r>
      <w:r w:rsidRPr="00977958">
        <w:rPr>
          <w:rFonts w:ascii="Garamond" w:hAnsi="Garamond"/>
          <w:sz w:val="24"/>
          <w:szCs w:val="24"/>
          <w:lang w:val="en-US"/>
        </w:rPr>
        <w:t xml:space="preserve"> billion, there was a dramatic fall to </w:t>
      </w:r>
      <w:r w:rsidR="00031A2E">
        <w:rPr>
          <w:rFonts w:ascii="Garamond" w:hAnsi="Garamond"/>
          <w:sz w:val="24"/>
          <w:szCs w:val="24"/>
          <w:lang w:val="en-US"/>
        </w:rPr>
        <w:t xml:space="preserve">under </w:t>
      </w:r>
      <w:r w:rsidRPr="00977958">
        <w:rPr>
          <w:rFonts w:ascii="Garamond" w:hAnsi="Garamond"/>
          <w:sz w:val="24"/>
          <w:szCs w:val="24"/>
          <w:lang w:val="en-US"/>
        </w:rPr>
        <w:t>$</w:t>
      </w:r>
      <w:r w:rsidR="00031A2E">
        <w:rPr>
          <w:rFonts w:ascii="Garamond" w:hAnsi="Garamond"/>
          <w:sz w:val="24"/>
          <w:szCs w:val="24"/>
          <w:lang w:val="en-US"/>
        </w:rPr>
        <w:t>7</w:t>
      </w:r>
      <w:r w:rsidRPr="00977958">
        <w:rPr>
          <w:rFonts w:ascii="Garamond" w:hAnsi="Garamond"/>
          <w:sz w:val="24"/>
          <w:szCs w:val="24"/>
          <w:lang w:val="en-US"/>
        </w:rPr>
        <w:t xml:space="preserve"> billion in 2009 – the lowest year by transaction volume. New York had the highest level of transaction volume averaging $1</w:t>
      </w:r>
      <w:r w:rsidR="00031A2E">
        <w:rPr>
          <w:rFonts w:ascii="Garamond" w:hAnsi="Garamond"/>
          <w:sz w:val="24"/>
          <w:szCs w:val="24"/>
          <w:lang w:val="en-US"/>
        </w:rPr>
        <w:t>2</w:t>
      </w:r>
      <w:r w:rsidRPr="00977958">
        <w:rPr>
          <w:rFonts w:ascii="Garamond" w:hAnsi="Garamond"/>
          <w:sz w:val="24"/>
          <w:szCs w:val="24"/>
          <w:lang w:val="en-US"/>
        </w:rPr>
        <w:t>.</w:t>
      </w:r>
      <w:r w:rsidR="00031A2E">
        <w:rPr>
          <w:rFonts w:ascii="Garamond" w:hAnsi="Garamond"/>
          <w:sz w:val="24"/>
          <w:szCs w:val="24"/>
          <w:lang w:val="en-US"/>
        </w:rPr>
        <w:t>3</w:t>
      </w:r>
      <w:r w:rsidRPr="00977958">
        <w:rPr>
          <w:rFonts w:ascii="Garamond" w:hAnsi="Garamond"/>
          <w:sz w:val="24"/>
          <w:szCs w:val="24"/>
          <w:lang w:val="en-US"/>
        </w:rPr>
        <w:t xml:space="preserve"> bil</w:t>
      </w:r>
      <w:r w:rsidR="00031A2E">
        <w:rPr>
          <w:rFonts w:ascii="Garamond" w:hAnsi="Garamond"/>
          <w:sz w:val="24"/>
          <w:szCs w:val="24"/>
          <w:lang w:val="en-US"/>
        </w:rPr>
        <w:t>lion per annum comprising over</w:t>
      </w:r>
      <w:r w:rsidRPr="00977958">
        <w:rPr>
          <w:rFonts w:ascii="Garamond" w:hAnsi="Garamond"/>
          <w:sz w:val="24"/>
          <w:szCs w:val="24"/>
          <w:lang w:val="en-US"/>
        </w:rPr>
        <w:t xml:space="preserve"> </w:t>
      </w:r>
      <w:r w:rsidR="00031A2E">
        <w:rPr>
          <w:rFonts w:ascii="Garamond" w:hAnsi="Garamond"/>
          <w:sz w:val="24"/>
          <w:szCs w:val="24"/>
          <w:lang w:val="en-US"/>
        </w:rPr>
        <w:t>27</w:t>
      </w:r>
      <w:r w:rsidRPr="00977958">
        <w:rPr>
          <w:rFonts w:ascii="Garamond" w:hAnsi="Garamond"/>
          <w:sz w:val="24"/>
          <w:szCs w:val="24"/>
          <w:lang w:val="en-US"/>
        </w:rPr>
        <w:t xml:space="preserve">% of the total.   The next largest was </w:t>
      </w:r>
      <w:r w:rsidR="005D1264">
        <w:rPr>
          <w:rFonts w:ascii="Garamond" w:hAnsi="Garamond"/>
          <w:sz w:val="24"/>
          <w:szCs w:val="24"/>
          <w:lang w:val="en-US"/>
        </w:rPr>
        <w:t>Washington which accounted for 7.5</w:t>
      </w:r>
      <w:r w:rsidRPr="00977958">
        <w:rPr>
          <w:rFonts w:ascii="Garamond" w:hAnsi="Garamond"/>
          <w:sz w:val="24"/>
          <w:szCs w:val="24"/>
          <w:lang w:val="en-US"/>
        </w:rPr>
        <w:t xml:space="preserve">% of the total. Overall, New York, Washington, Boston, Chicago, San Francisco, Los Angeles, Atlanta and Houston accounted for nearly 70% of transaction volume by value.   </w:t>
      </w:r>
    </w:p>
    <w:p w:rsidR="007E1902" w:rsidRPr="00977958" w:rsidRDefault="007E1902" w:rsidP="007E1902">
      <w:pPr>
        <w:spacing w:line="360" w:lineRule="auto"/>
        <w:ind w:left="360"/>
        <w:rPr>
          <w:rFonts w:ascii="Garamond" w:hAnsi="Garamond"/>
          <w:sz w:val="24"/>
          <w:szCs w:val="24"/>
        </w:rPr>
      </w:pPr>
    </w:p>
    <w:p w:rsidR="007E1902" w:rsidRPr="00977958" w:rsidRDefault="007E1902" w:rsidP="007E1902">
      <w:pPr>
        <w:spacing w:line="360" w:lineRule="auto"/>
        <w:jc w:val="both"/>
        <w:rPr>
          <w:rFonts w:ascii="Garamond" w:hAnsi="Garamond"/>
          <w:sz w:val="24"/>
          <w:szCs w:val="24"/>
        </w:rPr>
      </w:pPr>
      <w:r w:rsidRPr="00977958">
        <w:rPr>
          <w:rFonts w:ascii="Garamond" w:hAnsi="Garamond"/>
          <w:sz w:val="24"/>
          <w:szCs w:val="24"/>
        </w:rPr>
        <w:t>Whilst New York was the largest destination for foreign real estate investment in absolute terms, it was not the largest in relative terms. At an aggregate level, transactions involving foreign purchas</w:t>
      </w:r>
      <w:r w:rsidR="005D1264">
        <w:rPr>
          <w:rFonts w:ascii="Garamond" w:hAnsi="Garamond"/>
          <w:sz w:val="24"/>
          <w:szCs w:val="24"/>
        </w:rPr>
        <w:t>ers account for approximately 15</w:t>
      </w:r>
      <w:r w:rsidRPr="00977958">
        <w:rPr>
          <w:rFonts w:ascii="Garamond" w:hAnsi="Garamond"/>
          <w:sz w:val="24"/>
          <w:szCs w:val="24"/>
        </w:rPr>
        <w:t>% of all transaction volume by value in the period 2001-2013. It is notable that at the aggregate level there has been no consistent upward or downward trend</w:t>
      </w:r>
      <w:r w:rsidRPr="00977958">
        <w:rPr>
          <w:rStyle w:val="CommentReference"/>
        </w:rPr>
        <w:t>.</w:t>
      </w:r>
      <w:r w:rsidRPr="00977958">
        <w:rPr>
          <w:rFonts w:ascii="Garamond" w:hAnsi="Garamond"/>
          <w:sz w:val="24"/>
          <w:szCs w:val="24"/>
        </w:rPr>
        <w:t xml:space="preserve"> </w:t>
      </w:r>
      <w:r w:rsidR="00867742">
        <w:rPr>
          <w:rFonts w:ascii="Garamond" w:hAnsi="Garamond"/>
          <w:sz w:val="24"/>
          <w:szCs w:val="24"/>
        </w:rPr>
        <w:t>However, t</w:t>
      </w:r>
      <w:r w:rsidRPr="00977958">
        <w:rPr>
          <w:rFonts w:ascii="Garamond" w:hAnsi="Garamond"/>
          <w:sz w:val="24"/>
          <w:szCs w:val="24"/>
        </w:rPr>
        <w:t xml:space="preserve">he level of foreign investment has </w:t>
      </w:r>
      <w:r w:rsidR="00867742">
        <w:rPr>
          <w:rFonts w:ascii="Garamond" w:hAnsi="Garamond"/>
          <w:sz w:val="24"/>
          <w:szCs w:val="24"/>
        </w:rPr>
        <w:t>tended to drift upwards</w:t>
      </w:r>
      <w:r w:rsidRPr="00977958">
        <w:rPr>
          <w:rFonts w:ascii="Garamond" w:hAnsi="Garamond"/>
          <w:sz w:val="24"/>
          <w:szCs w:val="24"/>
        </w:rPr>
        <w:t xml:space="preserve">.  It was the ‘gateway’ cities that experienced the highest relative levels of foreign investment. </w:t>
      </w:r>
      <w:r w:rsidR="00867742">
        <w:rPr>
          <w:rFonts w:ascii="Garamond" w:hAnsi="Garamond"/>
          <w:sz w:val="24"/>
          <w:szCs w:val="24"/>
        </w:rPr>
        <w:t xml:space="preserve">They received nearly 85% of all foreign investment in the sample cities and just under 70% of all domestic investment.  </w:t>
      </w:r>
      <w:r w:rsidRPr="00977958">
        <w:rPr>
          <w:rFonts w:ascii="Garamond" w:hAnsi="Garamond"/>
          <w:sz w:val="24"/>
          <w:szCs w:val="24"/>
        </w:rPr>
        <w:t>Boston (</w:t>
      </w:r>
      <w:r w:rsidR="00EA1F81">
        <w:rPr>
          <w:rFonts w:ascii="Garamond" w:hAnsi="Garamond"/>
          <w:sz w:val="24"/>
          <w:szCs w:val="24"/>
        </w:rPr>
        <w:t>25.21</w:t>
      </w:r>
      <w:r w:rsidRPr="00977958">
        <w:rPr>
          <w:rFonts w:ascii="Garamond" w:hAnsi="Garamond"/>
          <w:sz w:val="24"/>
          <w:szCs w:val="24"/>
        </w:rPr>
        <w:t>%), New York (</w:t>
      </w:r>
      <w:r w:rsidR="00EA1F81">
        <w:rPr>
          <w:rFonts w:ascii="Garamond" w:hAnsi="Garamond"/>
          <w:sz w:val="24"/>
          <w:szCs w:val="24"/>
        </w:rPr>
        <w:t>19.47</w:t>
      </w:r>
      <w:r w:rsidRPr="00977958">
        <w:rPr>
          <w:rFonts w:ascii="Garamond" w:hAnsi="Garamond"/>
          <w:sz w:val="24"/>
          <w:szCs w:val="24"/>
        </w:rPr>
        <w:t xml:space="preserve">%), </w:t>
      </w:r>
      <w:r w:rsidR="00EA1F81">
        <w:rPr>
          <w:rFonts w:ascii="Garamond" w:hAnsi="Garamond"/>
          <w:sz w:val="24"/>
          <w:szCs w:val="24"/>
        </w:rPr>
        <w:t>San Francisco (19.4%) Washington (20.13</w:t>
      </w:r>
      <w:r w:rsidRPr="00977958">
        <w:rPr>
          <w:rFonts w:ascii="Garamond" w:hAnsi="Garamond"/>
          <w:sz w:val="24"/>
          <w:szCs w:val="24"/>
        </w:rPr>
        <w:t xml:space="preserve">%) </w:t>
      </w:r>
      <w:r w:rsidR="00EA1F81">
        <w:rPr>
          <w:rFonts w:ascii="Garamond" w:hAnsi="Garamond"/>
          <w:sz w:val="24"/>
          <w:szCs w:val="24"/>
        </w:rPr>
        <w:t>had the largest proportion of foreign investment overall</w:t>
      </w:r>
      <w:r w:rsidRPr="00977958">
        <w:rPr>
          <w:rFonts w:ascii="Garamond" w:hAnsi="Garamond"/>
          <w:sz w:val="24"/>
          <w:szCs w:val="24"/>
        </w:rPr>
        <w:t xml:space="preserve">. However, </w:t>
      </w:r>
      <w:r w:rsidR="00217464">
        <w:rPr>
          <w:rFonts w:ascii="Garamond" w:hAnsi="Garamond"/>
          <w:sz w:val="24"/>
          <w:szCs w:val="24"/>
        </w:rPr>
        <w:t xml:space="preserve">whilst foreign investment accounted for </w:t>
      </w:r>
      <w:r w:rsidR="00CE4D9F">
        <w:rPr>
          <w:rFonts w:ascii="Garamond" w:hAnsi="Garamond"/>
          <w:sz w:val="24"/>
          <w:szCs w:val="24"/>
        </w:rPr>
        <w:t xml:space="preserve">just </w:t>
      </w:r>
      <w:r w:rsidR="00217464">
        <w:rPr>
          <w:rFonts w:ascii="Garamond" w:hAnsi="Garamond"/>
          <w:sz w:val="24"/>
          <w:szCs w:val="24"/>
        </w:rPr>
        <w:t xml:space="preserve">over 17% of total transaction volume in Chicago, </w:t>
      </w:r>
      <w:r w:rsidRPr="00977958">
        <w:rPr>
          <w:rFonts w:ascii="Garamond" w:hAnsi="Garamond"/>
          <w:sz w:val="24"/>
          <w:szCs w:val="24"/>
        </w:rPr>
        <w:t xml:space="preserve">other large </w:t>
      </w:r>
      <w:r w:rsidR="00EA1F81">
        <w:rPr>
          <w:rFonts w:ascii="Garamond" w:hAnsi="Garamond"/>
          <w:sz w:val="24"/>
          <w:szCs w:val="24"/>
        </w:rPr>
        <w:t xml:space="preserve">‘gateway’ cities </w:t>
      </w:r>
      <w:r w:rsidR="00217464">
        <w:rPr>
          <w:rFonts w:ascii="Garamond" w:hAnsi="Garamond"/>
          <w:sz w:val="24"/>
          <w:szCs w:val="24"/>
        </w:rPr>
        <w:t xml:space="preserve">such as </w:t>
      </w:r>
      <w:r w:rsidR="00EA1F81">
        <w:rPr>
          <w:rFonts w:ascii="Garamond" w:hAnsi="Garamond"/>
          <w:sz w:val="24"/>
          <w:szCs w:val="24"/>
        </w:rPr>
        <w:t>Los Angeles (8</w:t>
      </w:r>
      <w:r w:rsidRPr="00977958">
        <w:rPr>
          <w:rFonts w:ascii="Garamond" w:hAnsi="Garamond"/>
          <w:sz w:val="24"/>
          <w:szCs w:val="24"/>
        </w:rPr>
        <w:t>.</w:t>
      </w:r>
      <w:r w:rsidR="00EA1F81">
        <w:rPr>
          <w:rFonts w:ascii="Garamond" w:hAnsi="Garamond"/>
          <w:sz w:val="24"/>
          <w:szCs w:val="24"/>
        </w:rPr>
        <w:t>96</w:t>
      </w:r>
      <w:r w:rsidRPr="00977958">
        <w:rPr>
          <w:rFonts w:ascii="Garamond" w:hAnsi="Garamond"/>
          <w:sz w:val="24"/>
          <w:szCs w:val="24"/>
        </w:rPr>
        <w:t>%)</w:t>
      </w:r>
      <w:r w:rsidR="00EA1F81">
        <w:rPr>
          <w:rFonts w:ascii="Garamond" w:hAnsi="Garamond"/>
          <w:sz w:val="24"/>
          <w:szCs w:val="24"/>
        </w:rPr>
        <w:t>, Atlanta</w:t>
      </w:r>
      <w:r w:rsidR="00217464">
        <w:rPr>
          <w:rFonts w:ascii="Garamond" w:hAnsi="Garamond"/>
          <w:sz w:val="24"/>
          <w:szCs w:val="24"/>
        </w:rPr>
        <w:t xml:space="preserve"> (8.72%)</w:t>
      </w:r>
      <w:r w:rsidR="00EA1F81">
        <w:rPr>
          <w:rFonts w:ascii="Garamond" w:hAnsi="Garamond"/>
          <w:sz w:val="24"/>
          <w:szCs w:val="24"/>
        </w:rPr>
        <w:t xml:space="preserve"> </w:t>
      </w:r>
      <w:r w:rsidR="00217464">
        <w:rPr>
          <w:rFonts w:ascii="Garamond" w:hAnsi="Garamond"/>
          <w:sz w:val="24"/>
          <w:szCs w:val="24"/>
        </w:rPr>
        <w:t xml:space="preserve">and Houston (10.43%) did not fir this pattern.  </w:t>
      </w:r>
      <w:r w:rsidRPr="00977958">
        <w:rPr>
          <w:rFonts w:ascii="Garamond" w:hAnsi="Garamond"/>
          <w:sz w:val="24"/>
          <w:szCs w:val="24"/>
        </w:rPr>
        <w:t>At the other end of the scale, Norfolk</w:t>
      </w:r>
      <w:r w:rsidR="00217464">
        <w:rPr>
          <w:rFonts w:ascii="Garamond" w:hAnsi="Garamond"/>
          <w:sz w:val="24"/>
          <w:szCs w:val="24"/>
        </w:rPr>
        <w:t xml:space="preserve"> (1.08</w:t>
      </w:r>
      <w:r w:rsidR="00CE4D9F">
        <w:rPr>
          <w:rFonts w:ascii="Garamond" w:hAnsi="Garamond"/>
          <w:sz w:val="24"/>
          <w:szCs w:val="24"/>
        </w:rPr>
        <w:t>%</w:t>
      </w:r>
      <w:r w:rsidR="00217464">
        <w:rPr>
          <w:rFonts w:ascii="Garamond" w:hAnsi="Garamond"/>
          <w:sz w:val="24"/>
          <w:szCs w:val="24"/>
        </w:rPr>
        <w:t>)</w:t>
      </w:r>
      <w:r w:rsidRPr="00977958">
        <w:rPr>
          <w:rFonts w:ascii="Garamond" w:hAnsi="Garamond"/>
          <w:sz w:val="24"/>
          <w:szCs w:val="24"/>
        </w:rPr>
        <w:t>, Oklahoma City</w:t>
      </w:r>
      <w:r w:rsidR="00217464">
        <w:rPr>
          <w:rFonts w:ascii="Garamond" w:hAnsi="Garamond"/>
          <w:sz w:val="24"/>
          <w:szCs w:val="24"/>
        </w:rPr>
        <w:t xml:space="preserve"> (0%)</w:t>
      </w:r>
      <w:r w:rsidRPr="00977958">
        <w:rPr>
          <w:rFonts w:ascii="Garamond" w:hAnsi="Garamond"/>
          <w:sz w:val="24"/>
          <w:szCs w:val="24"/>
        </w:rPr>
        <w:t xml:space="preserve"> and Colorado Springs</w:t>
      </w:r>
      <w:r w:rsidR="00217464">
        <w:rPr>
          <w:rFonts w:ascii="Garamond" w:hAnsi="Garamond"/>
          <w:sz w:val="24"/>
          <w:szCs w:val="24"/>
        </w:rPr>
        <w:t xml:space="preserve"> (0.99%)</w:t>
      </w:r>
      <w:r w:rsidRPr="00977958">
        <w:rPr>
          <w:rFonts w:ascii="Garamond" w:hAnsi="Garamond"/>
          <w:sz w:val="24"/>
          <w:szCs w:val="24"/>
        </w:rPr>
        <w:t xml:space="preserve"> had </w:t>
      </w:r>
      <w:r w:rsidR="00217464">
        <w:rPr>
          <w:rFonts w:ascii="Garamond" w:hAnsi="Garamond"/>
          <w:sz w:val="24"/>
          <w:szCs w:val="24"/>
        </w:rPr>
        <w:t xml:space="preserve">zero or </w:t>
      </w:r>
      <w:r w:rsidRPr="00977958">
        <w:rPr>
          <w:rFonts w:ascii="Garamond" w:hAnsi="Garamond"/>
          <w:sz w:val="24"/>
          <w:szCs w:val="24"/>
        </w:rPr>
        <w:t xml:space="preserve">negligible levels of foreign investment. Broadly, the data display the expected negative relationship between capitalization rate and foreign investment i.e. the higher the level of foreign investment, the lower the capitalization rate. However, it is also clear that there is a simultaneity issue in that a common factor may be jointly determining foreign investment and capitalization rate. It tends to be the largest cities that have the lowest capitalization rate. In order to investigate this issue more formally, we now attempt to disentangle the various drivers of office capitalization rates and to estimate the ‘pure’ effect of foreign investment.         </w:t>
      </w:r>
    </w:p>
    <w:p w:rsidR="007E1902" w:rsidRDefault="007E1902" w:rsidP="00800151">
      <w:pPr>
        <w:pStyle w:val="NoSpacing"/>
        <w:spacing w:line="360" w:lineRule="auto"/>
        <w:jc w:val="both"/>
        <w:rPr>
          <w:rFonts w:ascii="Garamond" w:hAnsi="Garamond"/>
          <w:b/>
          <w:sz w:val="24"/>
          <w:szCs w:val="24"/>
        </w:rPr>
      </w:pPr>
    </w:p>
    <w:p w:rsidR="007E1902" w:rsidRDefault="007E1902" w:rsidP="00800151">
      <w:pPr>
        <w:pStyle w:val="NoSpacing"/>
        <w:spacing w:line="360" w:lineRule="auto"/>
        <w:jc w:val="both"/>
        <w:rPr>
          <w:rFonts w:ascii="Garamond" w:hAnsi="Garamond"/>
          <w:b/>
          <w:sz w:val="24"/>
          <w:szCs w:val="24"/>
        </w:rPr>
      </w:pPr>
    </w:p>
    <w:p w:rsidR="00675915" w:rsidRPr="00977958" w:rsidRDefault="00CD2D18" w:rsidP="00800151">
      <w:pPr>
        <w:pStyle w:val="NoSpacing"/>
        <w:spacing w:line="360" w:lineRule="auto"/>
        <w:jc w:val="both"/>
        <w:rPr>
          <w:rFonts w:ascii="Garamond" w:hAnsi="Garamond"/>
          <w:b/>
          <w:sz w:val="24"/>
          <w:szCs w:val="24"/>
        </w:rPr>
      </w:pPr>
      <w:r w:rsidRPr="00977958">
        <w:rPr>
          <w:rFonts w:ascii="Garamond" w:hAnsi="Garamond"/>
          <w:b/>
          <w:sz w:val="24"/>
          <w:szCs w:val="24"/>
        </w:rPr>
        <w:t>EMPIRICAL ESTIMATION STRATEGY</w:t>
      </w:r>
    </w:p>
    <w:p w:rsidR="00675915" w:rsidRPr="00977958" w:rsidRDefault="000919F5" w:rsidP="00C97437">
      <w:pPr>
        <w:pStyle w:val="NoSpacing"/>
        <w:spacing w:line="360" w:lineRule="auto"/>
        <w:jc w:val="both"/>
        <w:rPr>
          <w:rFonts w:ascii="Garamond" w:hAnsi="Garamond"/>
          <w:sz w:val="24"/>
          <w:szCs w:val="24"/>
        </w:rPr>
      </w:pPr>
      <w:r w:rsidRPr="00977958">
        <w:rPr>
          <w:rFonts w:ascii="Garamond" w:hAnsi="Garamond"/>
          <w:sz w:val="24"/>
          <w:szCs w:val="24"/>
          <w:lang w:val="en-US"/>
        </w:rPr>
        <w:t>The</w:t>
      </w:r>
      <w:r w:rsidR="00675915" w:rsidRPr="00977958">
        <w:rPr>
          <w:rFonts w:ascii="Garamond" w:hAnsi="Garamond"/>
          <w:sz w:val="24"/>
          <w:szCs w:val="24"/>
          <w:lang w:val="en-US"/>
        </w:rPr>
        <w:t xml:space="preserve"> testable hypothesis generated by the research objectives is: </w:t>
      </w:r>
      <w:r w:rsidR="00015C53" w:rsidRPr="00977958">
        <w:rPr>
          <w:rFonts w:ascii="Garamond" w:hAnsi="Garamond"/>
          <w:i/>
          <w:sz w:val="24"/>
          <w:szCs w:val="24"/>
          <w:lang w:val="en-US"/>
        </w:rPr>
        <w:t>All else equal, there is a nega</w:t>
      </w:r>
      <w:r w:rsidR="00675915" w:rsidRPr="00977958">
        <w:rPr>
          <w:rFonts w:ascii="Garamond" w:hAnsi="Garamond"/>
          <w:i/>
          <w:sz w:val="24"/>
          <w:szCs w:val="24"/>
          <w:lang w:val="en-US"/>
        </w:rPr>
        <w:t xml:space="preserve">tive relationship between the proportion of </w:t>
      </w:r>
      <w:r w:rsidR="00E0318A" w:rsidRPr="00977958">
        <w:rPr>
          <w:rFonts w:ascii="Garamond" w:hAnsi="Garamond"/>
          <w:i/>
          <w:sz w:val="24"/>
          <w:szCs w:val="24"/>
          <w:lang w:val="en-US"/>
        </w:rPr>
        <w:t xml:space="preserve">purchases </w:t>
      </w:r>
      <w:r w:rsidR="00675915" w:rsidRPr="00977958">
        <w:rPr>
          <w:rFonts w:ascii="Garamond" w:hAnsi="Garamond"/>
          <w:i/>
          <w:sz w:val="24"/>
          <w:szCs w:val="24"/>
          <w:lang w:val="en-US"/>
        </w:rPr>
        <w:t xml:space="preserve">involving </w:t>
      </w:r>
      <w:r w:rsidR="00FC6DE3" w:rsidRPr="00977958">
        <w:rPr>
          <w:rFonts w:ascii="Garamond" w:hAnsi="Garamond"/>
          <w:i/>
          <w:sz w:val="24"/>
          <w:szCs w:val="24"/>
          <w:lang w:val="en-US"/>
        </w:rPr>
        <w:t>foreign</w:t>
      </w:r>
      <w:r w:rsidR="00675915" w:rsidRPr="00977958">
        <w:rPr>
          <w:rFonts w:ascii="Garamond" w:hAnsi="Garamond"/>
          <w:i/>
          <w:sz w:val="24"/>
          <w:szCs w:val="24"/>
          <w:lang w:val="en-US"/>
        </w:rPr>
        <w:t xml:space="preserve"> real estate investors and market capitalization </w:t>
      </w:r>
      <w:r w:rsidR="00675915" w:rsidRPr="00977958">
        <w:rPr>
          <w:rFonts w:ascii="Garamond" w:hAnsi="Garamond"/>
          <w:i/>
          <w:sz w:val="24"/>
          <w:szCs w:val="24"/>
          <w:lang w:val="en-US"/>
        </w:rPr>
        <w:lastRenderedPageBreak/>
        <w:t>rates</w:t>
      </w:r>
      <w:r w:rsidR="008926CA" w:rsidRPr="00977958">
        <w:rPr>
          <w:rFonts w:ascii="Garamond" w:hAnsi="Garamond"/>
          <w:i/>
          <w:sz w:val="24"/>
          <w:szCs w:val="24"/>
          <w:lang w:val="en-US"/>
        </w:rPr>
        <w:t xml:space="preserve">. </w:t>
      </w:r>
      <w:r w:rsidR="002567C7" w:rsidRPr="00977958">
        <w:rPr>
          <w:rFonts w:ascii="Garamond" w:hAnsi="Garamond"/>
          <w:sz w:val="24"/>
          <w:szCs w:val="24"/>
          <w:lang w:val="en-US"/>
        </w:rPr>
        <w:t>In order to</w:t>
      </w:r>
      <w:r w:rsidR="002567C7" w:rsidRPr="00977958">
        <w:rPr>
          <w:rFonts w:ascii="Garamond" w:hAnsi="Garamond"/>
          <w:i/>
          <w:sz w:val="24"/>
          <w:szCs w:val="24"/>
          <w:lang w:val="en-US"/>
        </w:rPr>
        <w:t xml:space="preserve"> </w:t>
      </w:r>
      <w:r w:rsidR="002567C7" w:rsidRPr="00977958">
        <w:rPr>
          <w:rFonts w:ascii="Garamond" w:hAnsi="Garamond"/>
          <w:sz w:val="24"/>
          <w:szCs w:val="24"/>
          <w:lang w:val="en-US"/>
        </w:rPr>
        <w:t>address this hypothesis,</w:t>
      </w:r>
      <w:r w:rsidR="002567C7" w:rsidRPr="00977958">
        <w:rPr>
          <w:rFonts w:ascii="Garamond" w:hAnsi="Garamond"/>
          <w:i/>
          <w:sz w:val="24"/>
          <w:szCs w:val="24"/>
          <w:lang w:val="en-US"/>
        </w:rPr>
        <w:t xml:space="preserve"> </w:t>
      </w:r>
      <w:r w:rsidR="00800151" w:rsidRPr="00977958">
        <w:rPr>
          <w:rFonts w:ascii="Garamond" w:hAnsi="Garamond"/>
          <w:sz w:val="24"/>
          <w:szCs w:val="24"/>
        </w:rPr>
        <w:t>w</w:t>
      </w:r>
      <w:r w:rsidR="00675915" w:rsidRPr="00977958">
        <w:rPr>
          <w:rFonts w:ascii="Garamond" w:hAnsi="Garamond"/>
          <w:sz w:val="24"/>
          <w:szCs w:val="24"/>
        </w:rPr>
        <w:t>e draw and build upon a well-established literature on modelling capitalization</w:t>
      </w:r>
      <w:r w:rsidR="00402163" w:rsidRPr="00977958">
        <w:rPr>
          <w:rFonts w:ascii="Garamond" w:hAnsi="Garamond"/>
          <w:sz w:val="24"/>
          <w:szCs w:val="24"/>
        </w:rPr>
        <w:t xml:space="preserve"> rates.</w:t>
      </w:r>
      <w:r w:rsidR="00675915" w:rsidRPr="00977958">
        <w:rPr>
          <w:rFonts w:ascii="Garamond" w:hAnsi="Garamond"/>
          <w:sz w:val="24"/>
          <w:szCs w:val="24"/>
        </w:rPr>
        <w:t xml:space="preserve"> </w:t>
      </w:r>
      <w:r w:rsidR="00800151" w:rsidRPr="00977958">
        <w:rPr>
          <w:rFonts w:ascii="Garamond" w:hAnsi="Garamond"/>
          <w:sz w:val="24"/>
          <w:szCs w:val="24"/>
        </w:rPr>
        <w:t>The models basically draw upo</w:t>
      </w:r>
      <w:r w:rsidR="00F71E8D" w:rsidRPr="00977958">
        <w:rPr>
          <w:rFonts w:ascii="Garamond" w:hAnsi="Garamond"/>
          <w:sz w:val="24"/>
          <w:szCs w:val="24"/>
        </w:rPr>
        <w:t>n the standard equation of cap</w:t>
      </w:r>
      <w:r w:rsidR="00402163" w:rsidRPr="00977958">
        <w:rPr>
          <w:rFonts w:ascii="Garamond" w:hAnsi="Garamond"/>
          <w:sz w:val="24"/>
          <w:szCs w:val="24"/>
        </w:rPr>
        <w:t>italization</w:t>
      </w:r>
      <w:r w:rsidR="00F71E8D" w:rsidRPr="00977958">
        <w:rPr>
          <w:rFonts w:ascii="Garamond" w:hAnsi="Garamond"/>
          <w:sz w:val="24"/>
          <w:szCs w:val="24"/>
        </w:rPr>
        <w:t xml:space="preserve"> rates as a function of required return and rental growth. Building upon </w:t>
      </w:r>
      <w:r w:rsidR="002567C7" w:rsidRPr="00977958">
        <w:rPr>
          <w:rFonts w:ascii="Garamond" w:hAnsi="Garamond"/>
          <w:sz w:val="24"/>
          <w:szCs w:val="24"/>
        </w:rPr>
        <w:t xml:space="preserve">their </w:t>
      </w:r>
      <w:r w:rsidR="00F71E8D" w:rsidRPr="00977958">
        <w:rPr>
          <w:rFonts w:ascii="Garamond" w:hAnsi="Garamond"/>
          <w:sz w:val="24"/>
          <w:szCs w:val="24"/>
        </w:rPr>
        <w:t>previous work, in the recent Chervachidze and Wheaton (2013) (CW) paper</w:t>
      </w:r>
      <w:r w:rsidR="0035746A" w:rsidRPr="00977958">
        <w:rPr>
          <w:rFonts w:ascii="Garamond" w:hAnsi="Garamond"/>
          <w:sz w:val="24"/>
          <w:szCs w:val="24"/>
        </w:rPr>
        <w:t>,</w:t>
      </w:r>
      <w:r w:rsidR="00F71E8D" w:rsidRPr="00977958">
        <w:rPr>
          <w:rFonts w:ascii="Garamond" w:hAnsi="Garamond"/>
          <w:sz w:val="24"/>
          <w:szCs w:val="24"/>
        </w:rPr>
        <w:t xml:space="preserve"> a</w:t>
      </w:r>
      <w:r w:rsidR="00E44BA6" w:rsidRPr="00977958">
        <w:rPr>
          <w:rFonts w:ascii="Garamond" w:hAnsi="Garamond"/>
          <w:sz w:val="24"/>
          <w:szCs w:val="24"/>
        </w:rPr>
        <w:t xml:space="preserve"> </w:t>
      </w:r>
      <w:r w:rsidR="00F71E8D" w:rsidRPr="00977958">
        <w:rPr>
          <w:rFonts w:ascii="Garamond" w:hAnsi="Garamond"/>
          <w:sz w:val="24"/>
          <w:szCs w:val="24"/>
        </w:rPr>
        <w:t xml:space="preserve">relatively </w:t>
      </w:r>
      <w:r w:rsidR="00E44BA6" w:rsidRPr="00977958">
        <w:rPr>
          <w:rFonts w:ascii="Garamond" w:hAnsi="Garamond"/>
          <w:sz w:val="24"/>
          <w:szCs w:val="24"/>
        </w:rPr>
        <w:t>simple</w:t>
      </w:r>
      <w:r w:rsidR="008926CA" w:rsidRPr="00977958">
        <w:rPr>
          <w:rFonts w:ascii="Garamond" w:hAnsi="Garamond"/>
          <w:sz w:val="24"/>
          <w:szCs w:val="24"/>
        </w:rPr>
        <w:t xml:space="preserve"> </w:t>
      </w:r>
      <w:r w:rsidR="00675915" w:rsidRPr="00977958">
        <w:rPr>
          <w:rFonts w:ascii="Garamond" w:hAnsi="Garamond"/>
          <w:sz w:val="24"/>
          <w:szCs w:val="24"/>
        </w:rPr>
        <w:t>empirical model includ</w:t>
      </w:r>
      <w:r w:rsidR="00F71E8D" w:rsidRPr="00977958">
        <w:rPr>
          <w:rFonts w:ascii="Garamond" w:hAnsi="Garamond"/>
          <w:sz w:val="24"/>
          <w:szCs w:val="24"/>
        </w:rPr>
        <w:t>ing</w:t>
      </w:r>
      <w:r w:rsidR="00675915" w:rsidRPr="00977958">
        <w:rPr>
          <w:rFonts w:ascii="Garamond" w:hAnsi="Garamond"/>
          <w:sz w:val="24"/>
          <w:szCs w:val="24"/>
        </w:rPr>
        <w:t xml:space="preserve"> </w:t>
      </w:r>
      <w:r w:rsidR="008926CA" w:rsidRPr="00977958">
        <w:rPr>
          <w:rFonts w:ascii="Garamond" w:hAnsi="Garamond"/>
          <w:sz w:val="24"/>
          <w:szCs w:val="24"/>
        </w:rPr>
        <w:t xml:space="preserve">the </w:t>
      </w:r>
      <w:r w:rsidR="00675915" w:rsidRPr="00977958">
        <w:rPr>
          <w:rFonts w:ascii="Garamond" w:hAnsi="Garamond"/>
          <w:sz w:val="24"/>
          <w:szCs w:val="24"/>
        </w:rPr>
        <w:t xml:space="preserve">lagged dependent variable </w:t>
      </w:r>
      <w:r w:rsidR="00F71E8D" w:rsidRPr="00977958">
        <w:rPr>
          <w:rFonts w:ascii="Garamond" w:hAnsi="Garamond"/>
          <w:sz w:val="24"/>
          <w:szCs w:val="24"/>
        </w:rPr>
        <w:t xml:space="preserve">is used to explain US cap rates. </w:t>
      </w:r>
      <w:r w:rsidR="008926CA" w:rsidRPr="00977958">
        <w:rPr>
          <w:rFonts w:ascii="Garamond" w:hAnsi="Garamond"/>
          <w:sz w:val="24"/>
          <w:szCs w:val="24"/>
        </w:rPr>
        <w:t xml:space="preserve"> </w:t>
      </w:r>
    </w:p>
    <w:p w:rsidR="00675915" w:rsidRPr="00977958" w:rsidRDefault="00675915" w:rsidP="00C97437">
      <w:pPr>
        <w:pStyle w:val="NoSpacing"/>
        <w:spacing w:line="360" w:lineRule="auto"/>
        <w:jc w:val="both"/>
        <w:rPr>
          <w:rFonts w:ascii="Garamond" w:hAnsi="Garamond"/>
          <w:sz w:val="24"/>
          <w:szCs w:val="24"/>
        </w:rPr>
      </w:pPr>
    </w:p>
    <w:p w:rsidR="00675915" w:rsidRPr="00977958" w:rsidRDefault="00675915" w:rsidP="00C97437">
      <w:pPr>
        <w:pStyle w:val="NoSpacing"/>
        <w:spacing w:line="360" w:lineRule="auto"/>
        <w:jc w:val="both"/>
        <w:rPr>
          <w:rFonts w:ascii="Garamond" w:hAnsi="Garamond"/>
          <w:sz w:val="24"/>
          <w:szCs w:val="24"/>
        </w:rPr>
      </w:pPr>
      <w:r w:rsidRPr="00977958">
        <w:rPr>
          <w:rFonts w:ascii="Garamond" w:hAnsi="Garamond"/>
          <w:sz w:val="24"/>
          <w:szCs w:val="24"/>
        </w:rPr>
        <w:t xml:space="preserve">                     </w:t>
      </w:r>
      <w:r w:rsidR="007A121C" w:rsidRPr="00977958">
        <w:rPr>
          <w:rFonts w:ascii="Garamond" w:hAnsi="Garamond"/>
          <w:position w:val="-12"/>
          <w:sz w:val="24"/>
          <w:szCs w:val="24"/>
        </w:rPr>
        <w:object w:dxaOrig="59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15pt;height:17pt" o:ole="">
            <v:imagedata r:id="rId9" o:title=""/>
          </v:shape>
          <o:OLEObject Type="Embed" ProgID="Equation.3" ShapeID="_x0000_i1025" DrawAspect="Content" ObjectID="_1493563883" r:id="rId10"/>
        </w:object>
      </w:r>
      <w:r w:rsidRPr="00977958">
        <w:rPr>
          <w:rFonts w:ascii="Garamond" w:hAnsi="Garamond"/>
          <w:sz w:val="24"/>
          <w:szCs w:val="24"/>
        </w:rPr>
        <w:t xml:space="preserve">  </w:t>
      </w:r>
      <w:r w:rsidR="008926CA" w:rsidRPr="00977958">
        <w:rPr>
          <w:rFonts w:ascii="Garamond" w:hAnsi="Garamond"/>
          <w:sz w:val="24"/>
          <w:szCs w:val="24"/>
        </w:rPr>
        <w:tab/>
      </w:r>
      <w:r w:rsidR="008926CA" w:rsidRPr="00977958">
        <w:rPr>
          <w:rFonts w:ascii="Garamond" w:hAnsi="Garamond"/>
          <w:sz w:val="24"/>
          <w:szCs w:val="24"/>
        </w:rPr>
        <w:tab/>
      </w:r>
      <w:r w:rsidRPr="00977958">
        <w:rPr>
          <w:rFonts w:ascii="Garamond" w:hAnsi="Garamond"/>
          <w:sz w:val="24"/>
          <w:szCs w:val="24"/>
        </w:rPr>
        <w:t>(1)</w:t>
      </w:r>
    </w:p>
    <w:p w:rsidR="00675915" w:rsidRPr="00977958" w:rsidRDefault="00675915" w:rsidP="00C97437">
      <w:pPr>
        <w:pStyle w:val="NoSpacing"/>
        <w:spacing w:line="360" w:lineRule="auto"/>
        <w:jc w:val="both"/>
        <w:rPr>
          <w:rFonts w:ascii="Garamond" w:hAnsi="Garamond"/>
          <w:sz w:val="24"/>
          <w:szCs w:val="24"/>
        </w:rPr>
      </w:pPr>
    </w:p>
    <w:p w:rsidR="00E44BA6" w:rsidRPr="00977958" w:rsidRDefault="00675915" w:rsidP="00DB62AA">
      <w:pPr>
        <w:pStyle w:val="NoSpacing"/>
        <w:spacing w:line="360" w:lineRule="auto"/>
        <w:jc w:val="both"/>
        <w:rPr>
          <w:rFonts w:ascii="Garamond" w:hAnsi="Garamond"/>
          <w:sz w:val="24"/>
          <w:szCs w:val="24"/>
        </w:rPr>
      </w:pPr>
      <w:r w:rsidRPr="00977958">
        <w:rPr>
          <w:rFonts w:ascii="Garamond" w:hAnsi="Garamond"/>
          <w:sz w:val="24"/>
          <w:szCs w:val="24"/>
        </w:rPr>
        <w:t xml:space="preserve">where </w:t>
      </w:r>
      <w:r w:rsidRPr="00977958">
        <w:rPr>
          <w:rFonts w:ascii="Garamond" w:hAnsi="Garamond"/>
          <w:i/>
          <w:sz w:val="24"/>
          <w:szCs w:val="24"/>
        </w:rPr>
        <w:t>k</w:t>
      </w:r>
      <w:r w:rsidRPr="00977958">
        <w:rPr>
          <w:rFonts w:ascii="Garamond" w:hAnsi="Garamond"/>
          <w:i/>
          <w:sz w:val="24"/>
          <w:szCs w:val="24"/>
          <w:vertAlign w:val="subscript"/>
        </w:rPr>
        <w:t xml:space="preserve">it </w:t>
      </w:r>
      <w:r w:rsidRPr="00977958">
        <w:rPr>
          <w:rFonts w:ascii="Garamond" w:hAnsi="Garamond"/>
          <w:sz w:val="24"/>
          <w:szCs w:val="24"/>
        </w:rPr>
        <w:t xml:space="preserve">is a real estate </w:t>
      </w:r>
      <w:r w:rsidR="000D5236" w:rsidRPr="00977958">
        <w:rPr>
          <w:rFonts w:ascii="Garamond" w:hAnsi="Garamond"/>
          <w:sz w:val="24"/>
          <w:szCs w:val="24"/>
        </w:rPr>
        <w:t>capitalization</w:t>
      </w:r>
      <w:r w:rsidRPr="00977958">
        <w:rPr>
          <w:rFonts w:ascii="Garamond" w:hAnsi="Garamond"/>
          <w:sz w:val="24"/>
          <w:szCs w:val="24"/>
        </w:rPr>
        <w:t xml:space="preserve"> rate</w:t>
      </w:r>
      <w:r w:rsidR="00E44BA6" w:rsidRPr="00977958">
        <w:rPr>
          <w:rFonts w:ascii="Garamond" w:hAnsi="Garamond"/>
          <w:sz w:val="24"/>
          <w:szCs w:val="24"/>
        </w:rPr>
        <w:t xml:space="preserve"> in city </w:t>
      </w:r>
      <w:r w:rsidR="00E44BA6" w:rsidRPr="00977958">
        <w:rPr>
          <w:rFonts w:ascii="Garamond" w:hAnsi="Garamond"/>
          <w:i/>
          <w:sz w:val="24"/>
          <w:szCs w:val="24"/>
        </w:rPr>
        <w:t>i</w:t>
      </w:r>
      <w:r w:rsidR="00E44BA6" w:rsidRPr="00977958">
        <w:rPr>
          <w:rFonts w:ascii="Garamond" w:hAnsi="Garamond"/>
          <w:sz w:val="24"/>
          <w:szCs w:val="24"/>
        </w:rPr>
        <w:t xml:space="preserve"> at time </w:t>
      </w:r>
      <w:r w:rsidR="00E44BA6" w:rsidRPr="00977958">
        <w:rPr>
          <w:rFonts w:ascii="Garamond" w:hAnsi="Garamond"/>
          <w:i/>
          <w:sz w:val="24"/>
          <w:szCs w:val="24"/>
        </w:rPr>
        <w:t>t</w:t>
      </w:r>
      <w:r w:rsidRPr="00977958">
        <w:rPr>
          <w:rFonts w:ascii="Garamond" w:hAnsi="Garamond"/>
          <w:sz w:val="24"/>
          <w:szCs w:val="24"/>
        </w:rPr>
        <w:t xml:space="preserve">. </w:t>
      </w:r>
      <w:r w:rsidR="00E44BA6" w:rsidRPr="00977958">
        <w:rPr>
          <w:rFonts w:ascii="Garamond" w:hAnsi="Garamond"/>
          <w:i/>
          <w:sz w:val="24"/>
          <w:szCs w:val="24"/>
        </w:rPr>
        <w:t>RRFR</w:t>
      </w:r>
      <w:r w:rsidR="00E44BA6" w:rsidRPr="00977958">
        <w:rPr>
          <w:rFonts w:ascii="Garamond" w:hAnsi="Garamond"/>
          <w:i/>
          <w:sz w:val="24"/>
          <w:szCs w:val="24"/>
          <w:vertAlign w:val="subscript"/>
        </w:rPr>
        <w:t>t</w:t>
      </w:r>
      <w:r w:rsidR="00E44BA6" w:rsidRPr="00977958">
        <w:rPr>
          <w:rFonts w:ascii="Garamond" w:hAnsi="Garamond"/>
          <w:sz w:val="24"/>
          <w:szCs w:val="24"/>
        </w:rPr>
        <w:t xml:space="preserve"> is the real</w:t>
      </w:r>
      <w:r w:rsidR="007341DA" w:rsidRPr="00977958">
        <w:rPr>
          <w:rFonts w:ascii="Garamond" w:hAnsi="Garamond"/>
          <w:sz w:val="24"/>
          <w:szCs w:val="24"/>
        </w:rPr>
        <w:t xml:space="preserve"> risk free rate (long-term rate</w:t>
      </w:r>
      <w:r w:rsidR="00E44BA6" w:rsidRPr="00977958">
        <w:rPr>
          <w:rFonts w:ascii="Garamond" w:hAnsi="Garamond"/>
          <w:sz w:val="24"/>
          <w:szCs w:val="24"/>
        </w:rPr>
        <w:t xml:space="preserve"> at time </w:t>
      </w:r>
      <w:r w:rsidR="00E44BA6" w:rsidRPr="00977958">
        <w:rPr>
          <w:rFonts w:ascii="Garamond" w:hAnsi="Garamond"/>
          <w:i/>
          <w:sz w:val="24"/>
          <w:szCs w:val="24"/>
        </w:rPr>
        <w:t>t</w:t>
      </w:r>
      <w:r w:rsidR="00E44BA6" w:rsidRPr="00977958">
        <w:rPr>
          <w:rFonts w:ascii="Garamond" w:hAnsi="Garamond"/>
          <w:sz w:val="24"/>
          <w:szCs w:val="24"/>
        </w:rPr>
        <w:t xml:space="preserve">. </w:t>
      </w:r>
      <w:r w:rsidR="00E44BA6" w:rsidRPr="00977958">
        <w:rPr>
          <w:rFonts w:ascii="Garamond" w:hAnsi="Garamond"/>
          <w:i/>
          <w:sz w:val="24"/>
          <w:szCs w:val="24"/>
        </w:rPr>
        <w:t>log(RRR)</w:t>
      </w:r>
      <w:r w:rsidR="00E44BA6" w:rsidRPr="00977958">
        <w:rPr>
          <w:rFonts w:ascii="Garamond" w:hAnsi="Garamond"/>
          <w:i/>
          <w:sz w:val="24"/>
          <w:szCs w:val="24"/>
          <w:vertAlign w:val="subscript"/>
        </w:rPr>
        <w:t>it</w:t>
      </w:r>
      <w:r w:rsidR="00E44BA6" w:rsidRPr="00977958">
        <w:rPr>
          <w:rFonts w:ascii="Garamond" w:hAnsi="Garamond"/>
          <w:sz w:val="24"/>
          <w:szCs w:val="24"/>
        </w:rPr>
        <w:t xml:space="preserve"> is the real rent ratio in city </w:t>
      </w:r>
      <w:r w:rsidR="00E44BA6" w:rsidRPr="00977958">
        <w:rPr>
          <w:rFonts w:ascii="Garamond" w:hAnsi="Garamond"/>
          <w:i/>
          <w:sz w:val="24"/>
          <w:szCs w:val="24"/>
        </w:rPr>
        <w:t>i</w:t>
      </w:r>
      <w:r w:rsidR="00E44BA6" w:rsidRPr="00977958">
        <w:rPr>
          <w:rFonts w:ascii="Garamond" w:hAnsi="Garamond"/>
          <w:sz w:val="24"/>
          <w:szCs w:val="24"/>
        </w:rPr>
        <w:t xml:space="preserve"> at time </w:t>
      </w:r>
      <w:r w:rsidR="00E44BA6" w:rsidRPr="00977958">
        <w:rPr>
          <w:rFonts w:ascii="Garamond" w:hAnsi="Garamond"/>
          <w:i/>
          <w:sz w:val="24"/>
          <w:szCs w:val="24"/>
        </w:rPr>
        <w:t>t</w:t>
      </w:r>
      <w:r w:rsidR="00E44BA6" w:rsidRPr="00977958">
        <w:rPr>
          <w:rFonts w:ascii="Garamond" w:hAnsi="Garamond"/>
          <w:sz w:val="24"/>
          <w:szCs w:val="24"/>
        </w:rPr>
        <w:t xml:space="preserve">. Real rent ratio is computed as ratio of real rent in a year and the sample period average of real rent. </w:t>
      </w:r>
      <w:r w:rsidR="00402163" w:rsidRPr="00977958">
        <w:rPr>
          <w:rFonts w:ascii="Garamond" w:hAnsi="Garamond"/>
          <w:sz w:val="24"/>
          <w:szCs w:val="24"/>
        </w:rPr>
        <w:t xml:space="preserve">Normally it would simply be a matter of adding more explanatory variables to the basic CW model and </w:t>
      </w:r>
      <w:r w:rsidR="002567C7" w:rsidRPr="00977958">
        <w:rPr>
          <w:rFonts w:ascii="Garamond" w:hAnsi="Garamond"/>
          <w:sz w:val="24"/>
          <w:szCs w:val="24"/>
        </w:rPr>
        <w:t xml:space="preserve">then </w:t>
      </w:r>
      <w:r w:rsidR="00402163" w:rsidRPr="00977958">
        <w:rPr>
          <w:rFonts w:ascii="Garamond" w:hAnsi="Garamond"/>
          <w:sz w:val="24"/>
          <w:szCs w:val="24"/>
        </w:rPr>
        <w:t>to find out whether the</w:t>
      </w:r>
      <w:r w:rsidR="002567C7" w:rsidRPr="00977958">
        <w:rPr>
          <w:rFonts w:ascii="Garamond" w:hAnsi="Garamond"/>
          <w:sz w:val="24"/>
          <w:szCs w:val="24"/>
        </w:rPr>
        <w:t xml:space="preserve"> additional variables</w:t>
      </w:r>
      <w:r w:rsidR="00402163" w:rsidRPr="00977958">
        <w:rPr>
          <w:rFonts w:ascii="Garamond" w:hAnsi="Garamond"/>
          <w:sz w:val="24"/>
          <w:szCs w:val="24"/>
        </w:rPr>
        <w:t xml:space="preserve"> improve the explanatory power of the model and are statistically significant.</w:t>
      </w:r>
      <w:r w:rsidR="0035746A" w:rsidRPr="00977958">
        <w:rPr>
          <w:rFonts w:ascii="Garamond" w:hAnsi="Garamond"/>
          <w:sz w:val="24"/>
          <w:szCs w:val="24"/>
        </w:rPr>
        <w:t xml:space="preserve"> </w:t>
      </w:r>
      <w:r w:rsidR="00F432C2" w:rsidRPr="00977958">
        <w:rPr>
          <w:rFonts w:ascii="Garamond" w:hAnsi="Garamond"/>
          <w:sz w:val="24"/>
          <w:szCs w:val="24"/>
        </w:rPr>
        <w:t xml:space="preserve">However, </w:t>
      </w:r>
      <w:r w:rsidR="002567C7" w:rsidRPr="00977958">
        <w:rPr>
          <w:rFonts w:ascii="Garamond" w:hAnsi="Garamond"/>
          <w:sz w:val="24"/>
          <w:szCs w:val="24"/>
        </w:rPr>
        <w:t>potential</w:t>
      </w:r>
      <w:r w:rsidR="00F432C2" w:rsidRPr="00977958">
        <w:rPr>
          <w:rFonts w:ascii="Garamond" w:hAnsi="Garamond"/>
          <w:sz w:val="24"/>
          <w:szCs w:val="24"/>
        </w:rPr>
        <w:t xml:space="preserve"> interdependency </w:t>
      </w:r>
      <w:r w:rsidR="002567C7" w:rsidRPr="00977958">
        <w:rPr>
          <w:rFonts w:ascii="Garamond" w:hAnsi="Garamond"/>
          <w:sz w:val="24"/>
          <w:szCs w:val="24"/>
        </w:rPr>
        <w:t xml:space="preserve">of </w:t>
      </w:r>
      <w:r w:rsidR="00F432C2" w:rsidRPr="00977958">
        <w:rPr>
          <w:rFonts w:ascii="Garamond" w:hAnsi="Garamond"/>
          <w:sz w:val="24"/>
          <w:szCs w:val="24"/>
        </w:rPr>
        <w:t xml:space="preserve">variables violates the assumption of independence </w:t>
      </w:r>
      <w:r w:rsidR="0035746A" w:rsidRPr="00977958">
        <w:rPr>
          <w:rFonts w:ascii="Garamond" w:hAnsi="Garamond"/>
          <w:sz w:val="24"/>
          <w:szCs w:val="24"/>
        </w:rPr>
        <w:t>required for consistent</w:t>
      </w:r>
      <w:r w:rsidR="00F432C2" w:rsidRPr="00977958">
        <w:rPr>
          <w:rFonts w:ascii="Garamond" w:hAnsi="Garamond"/>
          <w:sz w:val="24"/>
          <w:szCs w:val="24"/>
        </w:rPr>
        <w:t xml:space="preserve"> regression </w:t>
      </w:r>
      <w:r w:rsidR="0035746A" w:rsidRPr="00977958">
        <w:rPr>
          <w:rFonts w:ascii="Garamond" w:hAnsi="Garamond"/>
          <w:sz w:val="24"/>
          <w:szCs w:val="24"/>
        </w:rPr>
        <w:t>estimation</w:t>
      </w:r>
      <w:r w:rsidR="00F432C2" w:rsidRPr="00977958">
        <w:rPr>
          <w:rFonts w:ascii="Garamond" w:hAnsi="Garamond"/>
          <w:sz w:val="24"/>
          <w:szCs w:val="24"/>
        </w:rPr>
        <w:t xml:space="preserve"> with the </w:t>
      </w:r>
      <w:r w:rsidR="0035746A" w:rsidRPr="00977958">
        <w:rPr>
          <w:rFonts w:ascii="Garamond" w:hAnsi="Garamond"/>
          <w:sz w:val="24"/>
          <w:szCs w:val="24"/>
        </w:rPr>
        <w:t xml:space="preserve">additional </w:t>
      </w:r>
      <w:r w:rsidR="00F432C2" w:rsidRPr="00977958">
        <w:rPr>
          <w:rFonts w:ascii="Garamond" w:hAnsi="Garamond"/>
          <w:sz w:val="24"/>
          <w:szCs w:val="24"/>
        </w:rPr>
        <w:t>possibility that the results may not be robust.</w:t>
      </w:r>
    </w:p>
    <w:p w:rsidR="00E44BA6" w:rsidRPr="00977958" w:rsidRDefault="00E44BA6" w:rsidP="00C97437">
      <w:pPr>
        <w:pStyle w:val="NoSpacing"/>
        <w:spacing w:line="360" w:lineRule="auto"/>
        <w:jc w:val="both"/>
        <w:rPr>
          <w:rFonts w:ascii="Garamond" w:hAnsi="Garamond"/>
          <w:sz w:val="24"/>
          <w:szCs w:val="24"/>
        </w:rPr>
      </w:pPr>
    </w:p>
    <w:p w:rsidR="00173B41" w:rsidRPr="00977958" w:rsidRDefault="004041DC" w:rsidP="00173B41">
      <w:pPr>
        <w:pStyle w:val="NoSpacing"/>
        <w:spacing w:line="360" w:lineRule="auto"/>
        <w:jc w:val="both"/>
        <w:rPr>
          <w:rFonts w:ascii="Garamond" w:hAnsi="Garamond"/>
          <w:sz w:val="24"/>
          <w:szCs w:val="24"/>
        </w:rPr>
      </w:pPr>
      <w:r w:rsidRPr="00977958">
        <w:rPr>
          <w:rFonts w:ascii="Garamond" w:hAnsi="Garamond" w:cs="Times New Roman"/>
        </w:rPr>
        <w:t>Therefore</w:t>
      </w:r>
      <w:r w:rsidR="00173B41" w:rsidRPr="00977958">
        <w:rPr>
          <w:rFonts w:ascii="Garamond" w:hAnsi="Garamond" w:cs="Times New Roman"/>
        </w:rPr>
        <w:t>,</w:t>
      </w:r>
      <w:r w:rsidR="00173B41" w:rsidRPr="00977958">
        <w:rPr>
          <w:rFonts w:ascii="Garamond" w:hAnsi="Garamond"/>
          <w:sz w:val="24"/>
          <w:szCs w:val="24"/>
        </w:rPr>
        <w:t xml:space="preserve"> in attempting to isolate the effect of foreign investment on capitalization rates, since it is likely that foreign investment and </w:t>
      </w:r>
      <w:r w:rsidR="000D186C" w:rsidRPr="00977958">
        <w:rPr>
          <w:rFonts w:ascii="Garamond" w:hAnsi="Garamond"/>
          <w:sz w:val="24"/>
          <w:szCs w:val="24"/>
        </w:rPr>
        <w:t>capitalization</w:t>
      </w:r>
      <w:r w:rsidR="00173B41" w:rsidRPr="00977958">
        <w:rPr>
          <w:rFonts w:ascii="Garamond" w:hAnsi="Garamond"/>
          <w:sz w:val="24"/>
          <w:szCs w:val="24"/>
        </w:rPr>
        <w:t xml:space="preserve"> rate are determined by </w:t>
      </w:r>
      <w:r w:rsidRPr="00977958">
        <w:rPr>
          <w:rFonts w:ascii="Garamond" w:hAnsi="Garamond"/>
          <w:sz w:val="24"/>
          <w:szCs w:val="24"/>
        </w:rPr>
        <w:t xml:space="preserve">a </w:t>
      </w:r>
      <w:r w:rsidR="00173B41" w:rsidRPr="00977958">
        <w:rPr>
          <w:rFonts w:ascii="Garamond" w:hAnsi="Garamond"/>
          <w:sz w:val="24"/>
          <w:szCs w:val="24"/>
        </w:rPr>
        <w:t xml:space="preserve">common variable e.g. a city’s global economic importance, a key problem in the modelling process is simultaneity bias. For instance, New York’s office capitalization rate may be low </w:t>
      </w:r>
      <w:r w:rsidR="00173B41" w:rsidRPr="00977958">
        <w:rPr>
          <w:rFonts w:ascii="Garamond" w:hAnsi="Garamond"/>
          <w:b/>
          <w:sz w:val="24"/>
          <w:szCs w:val="24"/>
        </w:rPr>
        <w:t>and</w:t>
      </w:r>
      <w:r w:rsidR="00173B41" w:rsidRPr="00977958">
        <w:rPr>
          <w:rFonts w:ascii="Garamond" w:hAnsi="Garamond"/>
          <w:sz w:val="24"/>
          <w:szCs w:val="24"/>
        </w:rPr>
        <w:t xml:space="preserve"> the level of foreign investment may be high </w:t>
      </w:r>
      <w:r w:rsidRPr="00977958">
        <w:rPr>
          <w:rFonts w:ascii="Garamond" w:hAnsi="Garamond"/>
          <w:sz w:val="24"/>
          <w:szCs w:val="24"/>
        </w:rPr>
        <w:t xml:space="preserve">because </w:t>
      </w:r>
      <w:r w:rsidR="00173B41" w:rsidRPr="00977958">
        <w:rPr>
          <w:rFonts w:ascii="Garamond" w:hAnsi="Garamond"/>
          <w:sz w:val="24"/>
          <w:szCs w:val="24"/>
        </w:rPr>
        <w:t>New York is the l</w:t>
      </w:r>
      <w:r w:rsidR="007341DA" w:rsidRPr="00977958">
        <w:rPr>
          <w:rFonts w:ascii="Garamond" w:hAnsi="Garamond"/>
          <w:sz w:val="24"/>
          <w:szCs w:val="24"/>
        </w:rPr>
        <w:t>eading global financial center</w:t>
      </w:r>
      <w:r w:rsidR="0035746A" w:rsidRPr="00977958">
        <w:rPr>
          <w:rFonts w:ascii="Garamond" w:hAnsi="Garamond"/>
          <w:sz w:val="24"/>
          <w:szCs w:val="24"/>
        </w:rPr>
        <w:t xml:space="preserve"> and a gateway city</w:t>
      </w:r>
      <w:r w:rsidR="007341DA" w:rsidRPr="00977958">
        <w:rPr>
          <w:rFonts w:ascii="Garamond" w:hAnsi="Garamond"/>
          <w:sz w:val="24"/>
          <w:szCs w:val="24"/>
        </w:rPr>
        <w:t xml:space="preserve">.  </w:t>
      </w:r>
      <w:r w:rsidRPr="00977958">
        <w:rPr>
          <w:rFonts w:ascii="Garamond" w:hAnsi="Garamond"/>
          <w:sz w:val="24"/>
          <w:szCs w:val="24"/>
        </w:rPr>
        <w:t>Since</w:t>
      </w:r>
      <w:r w:rsidR="00173B41" w:rsidRPr="00977958">
        <w:rPr>
          <w:rFonts w:ascii="Garamond" w:hAnsi="Garamond"/>
          <w:sz w:val="24"/>
          <w:szCs w:val="24"/>
        </w:rPr>
        <w:t xml:space="preserve"> New York’s global economic importance </w:t>
      </w:r>
      <w:r w:rsidR="00F432C2" w:rsidRPr="00977958">
        <w:rPr>
          <w:rFonts w:ascii="Garamond" w:hAnsi="Garamond"/>
          <w:sz w:val="24"/>
          <w:szCs w:val="24"/>
        </w:rPr>
        <w:t>may</w:t>
      </w:r>
      <w:r w:rsidR="00173B41" w:rsidRPr="00977958">
        <w:rPr>
          <w:rFonts w:ascii="Garamond" w:hAnsi="Garamond"/>
          <w:sz w:val="24"/>
          <w:szCs w:val="24"/>
        </w:rPr>
        <w:t xml:space="preserve"> also</w:t>
      </w:r>
      <w:r w:rsidR="0035746A" w:rsidRPr="00977958">
        <w:rPr>
          <w:rFonts w:ascii="Garamond" w:hAnsi="Garamond"/>
          <w:sz w:val="24"/>
          <w:szCs w:val="24"/>
        </w:rPr>
        <w:t xml:space="preserve"> be</w:t>
      </w:r>
      <w:r w:rsidR="00173B41" w:rsidRPr="00977958">
        <w:rPr>
          <w:rFonts w:ascii="Garamond" w:hAnsi="Garamond"/>
          <w:sz w:val="24"/>
          <w:szCs w:val="24"/>
        </w:rPr>
        <w:t xml:space="preserve"> </w:t>
      </w:r>
      <w:r w:rsidR="00F432C2" w:rsidRPr="00977958">
        <w:rPr>
          <w:rFonts w:ascii="Garamond" w:hAnsi="Garamond"/>
          <w:sz w:val="24"/>
          <w:szCs w:val="24"/>
        </w:rPr>
        <w:t>linked to its level of</w:t>
      </w:r>
      <w:r w:rsidR="00173B41" w:rsidRPr="00977958">
        <w:rPr>
          <w:rFonts w:ascii="Garamond" w:hAnsi="Garamond"/>
          <w:sz w:val="24"/>
          <w:szCs w:val="24"/>
        </w:rPr>
        <w:t xml:space="preserve"> </w:t>
      </w:r>
      <w:r w:rsidR="00F432C2" w:rsidRPr="00977958">
        <w:rPr>
          <w:rFonts w:ascii="Garamond" w:hAnsi="Garamond"/>
          <w:sz w:val="24"/>
          <w:szCs w:val="24"/>
        </w:rPr>
        <w:t>for</w:t>
      </w:r>
      <w:r w:rsidR="00173B41" w:rsidRPr="00977958">
        <w:rPr>
          <w:rFonts w:ascii="Garamond" w:hAnsi="Garamond"/>
          <w:sz w:val="24"/>
          <w:szCs w:val="24"/>
        </w:rPr>
        <w:t>eign investment</w:t>
      </w:r>
      <w:r w:rsidRPr="00977958">
        <w:rPr>
          <w:rFonts w:ascii="Garamond" w:hAnsi="Garamond"/>
          <w:sz w:val="24"/>
          <w:szCs w:val="24"/>
        </w:rPr>
        <w:t>, w</w:t>
      </w:r>
      <w:r w:rsidR="00173B41" w:rsidRPr="00977958">
        <w:rPr>
          <w:rFonts w:ascii="Garamond" w:hAnsi="Garamond"/>
          <w:sz w:val="24"/>
          <w:szCs w:val="24"/>
        </w:rPr>
        <w:t xml:space="preserve">e need to be able to separate the effect of the level of foreign investment from the effect of the city’s global economic importance on </w:t>
      </w:r>
      <w:r w:rsidR="000D186C" w:rsidRPr="00977958">
        <w:rPr>
          <w:rFonts w:ascii="Garamond" w:hAnsi="Garamond"/>
          <w:sz w:val="24"/>
          <w:szCs w:val="24"/>
        </w:rPr>
        <w:t>capitalization</w:t>
      </w:r>
      <w:r w:rsidR="00173B41" w:rsidRPr="00977958">
        <w:rPr>
          <w:rFonts w:ascii="Garamond" w:hAnsi="Garamond"/>
          <w:sz w:val="24"/>
          <w:szCs w:val="24"/>
        </w:rPr>
        <w:t xml:space="preserve"> rate. This type of joint </w:t>
      </w:r>
      <w:r w:rsidR="005F7CDB" w:rsidRPr="00977958">
        <w:rPr>
          <w:rFonts w:ascii="Garamond" w:hAnsi="Garamond"/>
          <w:sz w:val="24"/>
          <w:szCs w:val="24"/>
        </w:rPr>
        <w:t>determination</w:t>
      </w:r>
      <w:r w:rsidR="00173B41" w:rsidRPr="00977958">
        <w:rPr>
          <w:rFonts w:ascii="Garamond" w:hAnsi="Garamond"/>
          <w:sz w:val="24"/>
          <w:szCs w:val="24"/>
        </w:rPr>
        <w:t xml:space="preserve"> problem tends to be easy to identify since the </w:t>
      </w:r>
      <w:r w:rsidRPr="00977958">
        <w:rPr>
          <w:rFonts w:ascii="Garamond" w:hAnsi="Garamond"/>
          <w:sz w:val="24"/>
          <w:szCs w:val="24"/>
        </w:rPr>
        <w:t xml:space="preserve">explanatory </w:t>
      </w:r>
      <w:r w:rsidR="00173B41" w:rsidRPr="00977958">
        <w:rPr>
          <w:rFonts w:ascii="Garamond" w:hAnsi="Garamond"/>
          <w:sz w:val="24"/>
          <w:szCs w:val="24"/>
        </w:rPr>
        <w:t xml:space="preserve">variables will typically be strongly correlated.  A common econometric approach for dealing with this issue is to use a regression procedure to identify the element of foreign investment that is not explained by global economic importance. Given that this procedure effectively identifies the effect of global economic importance on foreign investment, it is the unexplained (by global economic importance) variance or residual error that is then used as a ‘pure’ foreign investment variable. This is termed </w:t>
      </w:r>
      <w:r w:rsidR="005F7CDB" w:rsidRPr="00977958">
        <w:rPr>
          <w:rFonts w:ascii="Garamond" w:hAnsi="Garamond"/>
          <w:sz w:val="24"/>
          <w:szCs w:val="24"/>
        </w:rPr>
        <w:t xml:space="preserve">as </w:t>
      </w:r>
      <w:r w:rsidR="00173B41" w:rsidRPr="00977958">
        <w:rPr>
          <w:rFonts w:ascii="Garamond" w:hAnsi="Garamond"/>
          <w:sz w:val="24"/>
          <w:szCs w:val="24"/>
        </w:rPr>
        <w:t>an orthogonalization procedure.</w:t>
      </w:r>
    </w:p>
    <w:p w:rsidR="00173B41" w:rsidRPr="00977958" w:rsidRDefault="00173B41" w:rsidP="00C97437">
      <w:pPr>
        <w:pStyle w:val="NoSpacing"/>
        <w:spacing w:line="360" w:lineRule="auto"/>
        <w:jc w:val="both"/>
        <w:rPr>
          <w:rFonts w:ascii="Garamond" w:hAnsi="Garamond"/>
          <w:sz w:val="24"/>
          <w:szCs w:val="24"/>
        </w:rPr>
      </w:pPr>
    </w:p>
    <w:p w:rsidR="00F432C2" w:rsidRPr="00977958" w:rsidRDefault="00173B41" w:rsidP="00C97437">
      <w:pPr>
        <w:pStyle w:val="NoSpacing"/>
        <w:spacing w:line="360" w:lineRule="auto"/>
        <w:jc w:val="both"/>
        <w:rPr>
          <w:rFonts w:ascii="Garamond" w:hAnsi="Garamond"/>
          <w:sz w:val="24"/>
          <w:szCs w:val="24"/>
        </w:rPr>
      </w:pPr>
      <w:r w:rsidRPr="00977958">
        <w:rPr>
          <w:rFonts w:ascii="Garamond" w:hAnsi="Garamond" w:cs="Times New Roman"/>
          <w:sz w:val="24"/>
          <w:szCs w:val="24"/>
        </w:rPr>
        <w:lastRenderedPageBreak/>
        <w:t>In order to counteract</w:t>
      </w:r>
      <w:r w:rsidR="00F432C2" w:rsidRPr="00977958">
        <w:rPr>
          <w:rFonts w:ascii="Garamond" w:hAnsi="Garamond" w:cs="Times New Roman"/>
          <w:sz w:val="24"/>
          <w:szCs w:val="24"/>
        </w:rPr>
        <w:t xml:space="preserve"> the problems outlined above, we use a two stage regression procedure. In the basic model above, </w:t>
      </w:r>
      <w:r w:rsidR="00F71E8D" w:rsidRPr="00977958">
        <w:rPr>
          <w:rFonts w:ascii="Garamond" w:hAnsi="Garamond"/>
          <w:i/>
          <w:sz w:val="28"/>
          <w:szCs w:val="24"/>
        </w:rPr>
        <w:t>ε</w:t>
      </w:r>
      <w:r w:rsidR="00F71E8D" w:rsidRPr="00977958">
        <w:rPr>
          <w:rFonts w:ascii="Garamond" w:hAnsi="Garamond"/>
          <w:i/>
          <w:sz w:val="28"/>
          <w:szCs w:val="24"/>
          <w:vertAlign w:val="subscript"/>
        </w:rPr>
        <w:t>it</w:t>
      </w:r>
      <w:r w:rsidR="00F71E8D" w:rsidRPr="00977958">
        <w:rPr>
          <w:rFonts w:ascii="Garamond" w:hAnsi="Garamond"/>
          <w:i/>
          <w:sz w:val="24"/>
          <w:szCs w:val="24"/>
          <w:vertAlign w:val="subscript"/>
        </w:rPr>
        <w:t xml:space="preserve"> </w:t>
      </w:r>
      <w:r w:rsidR="00F71E8D" w:rsidRPr="00977958">
        <w:rPr>
          <w:rFonts w:ascii="Garamond" w:hAnsi="Garamond"/>
          <w:sz w:val="24"/>
          <w:szCs w:val="24"/>
        </w:rPr>
        <w:t xml:space="preserve">is the residual error and is capturing the </w:t>
      </w:r>
      <w:r w:rsidR="00F21392" w:rsidRPr="00977958">
        <w:rPr>
          <w:rFonts w:ascii="Garamond" w:hAnsi="Garamond"/>
          <w:sz w:val="24"/>
          <w:szCs w:val="24"/>
        </w:rPr>
        <w:t>component of</w:t>
      </w:r>
      <w:r w:rsidR="00C61DA4" w:rsidRPr="00977958">
        <w:rPr>
          <w:rFonts w:ascii="Garamond" w:hAnsi="Garamond"/>
          <w:sz w:val="24"/>
          <w:szCs w:val="24"/>
        </w:rPr>
        <w:t xml:space="preserve"> a city’s capitalization rate that is not explained by the determinants (e.g. risk free rate and real rent ratio) included in the basic CW model. This residual error may be explained by other variables such as urban economic structure. In our modelling procedure, having identified the element of a city’s capitalization rate that is unexplained by the CW model (the residual error), we then try to see whether we are able to identify what is determining the residual error</w:t>
      </w:r>
      <w:r w:rsidR="00F21392" w:rsidRPr="00977958">
        <w:rPr>
          <w:rFonts w:ascii="Garamond" w:hAnsi="Garamond"/>
          <w:sz w:val="24"/>
          <w:szCs w:val="24"/>
        </w:rPr>
        <w:t xml:space="preserve"> (the unexplained component)</w:t>
      </w:r>
      <w:r w:rsidR="00C61DA4" w:rsidRPr="00977958">
        <w:rPr>
          <w:rFonts w:ascii="Garamond" w:hAnsi="Garamond"/>
          <w:sz w:val="24"/>
          <w:szCs w:val="24"/>
        </w:rPr>
        <w:t xml:space="preserve">.  </w:t>
      </w:r>
    </w:p>
    <w:p w:rsidR="00F432C2" w:rsidRPr="00977958" w:rsidRDefault="00F432C2" w:rsidP="00C97437">
      <w:pPr>
        <w:pStyle w:val="NoSpacing"/>
        <w:spacing w:line="360" w:lineRule="auto"/>
        <w:jc w:val="both"/>
        <w:rPr>
          <w:rFonts w:ascii="Garamond" w:hAnsi="Garamond"/>
          <w:sz w:val="24"/>
          <w:szCs w:val="24"/>
        </w:rPr>
      </w:pPr>
    </w:p>
    <w:p w:rsidR="001140C6" w:rsidRPr="00977958" w:rsidRDefault="00F432C2" w:rsidP="00C97437">
      <w:pPr>
        <w:pStyle w:val="NoSpacing"/>
        <w:spacing w:line="360" w:lineRule="auto"/>
        <w:jc w:val="both"/>
        <w:rPr>
          <w:rFonts w:ascii="Garamond" w:hAnsi="Garamond"/>
          <w:sz w:val="24"/>
          <w:szCs w:val="24"/>
        </w:rPr>
      </w:pPr>
      <w:r w:rsidRPr="00977958">
        <w:rPr>
          <w:rFonts w:ascii="Garamond" w:hAnsi="Garamond"/>
          <w:sz w:val="24"/>
          <w:szCs w:val="24"/>
        </w:rPr>
        <w:t xml:space="preserve">We estimate whether the component of a city’s capitalization rate that is not explained by the basic model can be explained by other factors – that have themselves been purged of the effects of common determinants. </w:t>
      </w:r>
      <w:r w:rsidR="001140C6" w:rsidRPr="00977958">
        <w:rPr>
          <w:rFonts w:ascii="Garamond" w:hAnsi="Garamond"/>
          <w:sz w:val="24"/>
          <w:szCs w:val="24"/>
        </w:rPr>
        <w:t xml:space="preserve">So then </w:t>
      </w:r>
      <w:r w:rsidR="00B80D8C" w:rsidRPr="00977958">
        <w:rPr>
          <w:rFonts w:ascii="Garamond" w:hAnsi="Garamond"/>
          <w:sz w:val="24"/>
          <w:szCs w:val="24"/>
        </w:rPr>
        <w:t>our</w:t>
      </w:r>
      <w:r w:rsidR="001140C6" w:rsidRPr="00977958">
        <w:rPr>
          <w:rFonts w:ascii="Garamond" w:hAnsi="Garamond"/>
          <w:sz w:val="24"/>
          <w:szCs w:val="24"/>
        </w:rPr>
        <w:t xml:space="preserve"> modelling process involves a number of steps</w:t>
      </w:r>
      <w:r w:rsidR="0035746A" w:rsidRPr="00977958">
        <w:rPr>
          <w:rFonts w:ascii="Garamond" w:hAnsi="Garamond"/>
          <w:sz w:val="24"/>
          <w:szCs w:val="24"/>
        </w:rPr>
        <w:t>:</w:t>
      </w:r>
    </w:p>
    <w:p w:rsidR="00B80D8C" w:rsidRPr="00977958" w:rsidRDefault="00B80D8C" w:rsidP="00C97437">
      <w:pPr>
        <w:pStyle w:val="NoSpacing"/>
        <w:spacing w:line="360" w:lineRule="auto"/>
        <w:jc w:val="both"/>
        <w:rPr>
          <w:rFonts w:ascii="Garamond" w:hAnsi="Garamond"/>
          <w:sz w:val="24"/>
          <w:szCs w:val="24"/>
        </w:rPr>
      </w:pPr>
    </w:p>
    <w:p w:rsidR="001140C6" w:rsidRPr="00977958" w:rsidRDefault="00F21392" w:rsidP="00122B76">
      <w:pPr>
        <w:pStyle w:val="NoSpacing"/>
        <w:spacing w:line="360" w:lineRule="auto"/>
        <w:ind w:left="1276" w:hanging="1440"/>
        <w:jc w:val="both"/>
        <w:rPr>
          <w:rFonts w:ascii="Garamond" w:hAnsi="Garamond"/>
          <w:sz w:val="24"/>
          <w:szCs w:val="24"/>
        </w:rPr>
      </w:pPr>
      <w:r w:rsidRPr="00977958">
        <w:rPr>
          <w:rFonts w:ascii="Garamond" w:hAnsi="Garamond"/>
          <w:sz w:val="24"/>
          <w:szCs w:val="24"/>
        </w:rPr>
        <w:t>Step 1:</w:t>
      </w:r>
      <w:r w:rsidR="007A121C" w:rsidRPr="00977958">
        <w:rPr>
          <w:rFonts w:ascii="Garamond" w:hAnsi="Garamond"/>
          <w:sz w:val="24"/>
          <w:szCs w:val="24"/>
        </w:rPr>
        <w:tab/>
      </w:r>
      <w:r w:rsidR="001140C6" w:rsidRPr="00977958">
        <w:rPr>
          <w:rFonts w:ascii="Garamond" w:hAnsi="Garamond"/>
          <w:sz w:val="24"/>
          <w:szCs w:val="24"/>
        </w:rPr>
        <w:t>Identify the component of a city’s capitalization rate that is (un)explained by the standard model of capitalization rate determination.</w:t>
      </w:r>
    </w:p>
    <w:p w:rsidR="001140C6" w:rsidRPr="00977958" w:rsidRDefault="00F21392" w:rsidP="00122B76">
      <w:pPr>
        <w:pStyle w:val="NoSpacing"/>
        <w:spacing w:line="360" w:lineRule="auto"/>
        <w:ind w:left="1276" w:hanging="1440"/>
        <w:jc w:val="both"/>
        <w:rPr>
          <w:rFonts w:ascii="Garamond" w:hAnsi="Garamond"/>
          <w:sz w:val="24"/>
          <w:szCs w:val="24"/>
        </w:rPr>
      </w:pPr>
      <w:r w:rsidRPr="00977958">
        <w:rPr>
          <w:rFonts w:ascii="Garamond" w:hAnsi="Garamond"/>
          <w:sz w:val="24"/>
          <w:szCs w:val="24"/>
        </w:rPr>
        <w:t>Step 2:</w:t>
      </w:r>
      <w:r w:rsidR="007A121C" w:rsidRPr="00977958">
        <w:rPr>
          <w:rFonts w:ascii="Garamond" w:hAnsi="Garamond"/>
          <w:sz w:val="24"/>
          <w:szCs w:val="24"/>
        </w:rPr>
        <w:tab/>
      </w:r>
      <w:r w:rsidR="001140C6" w:rsidRPr="00977958">
        <w:rPr>
          <w:rFonts w:ascii="Garamond" w:hAnsi="Garamond"/>
          <w:sz w:val="24"/>
          <w:szCs w:val="24"/>
        </w:rPr>
        <w:t>Identify</w:t>
      </w:r>
      <w:r w:rsidR="00B80D8C" w:rsidRPr="00977958">
        <w:rPr>
          <w:rFonts w:ascii="Garamond" w:hAnsi="Garamond"/>
          <w:sz w:val="24"/>
          <w:szCs w:val="24"/>
        </w:rPr>
        <w:t xml:space="preserve"> other potential explanatory variables and estimate </w:t>
      </w:r>
      <w:r w:rsidR="001140C6" w:rsidRPr="00977958">
        <w:rPr>
          <w:rFonts w:ascii="Garamond" w:hAnsi="Garamond"/>
          <w:sz w:val="24"/>
          <w:szCs w:val="24"/>
        </w:rPr>
        <w:t xml:space="preserve">the extent to which other potential explanatory variables are </w:t>
      </w:r>
      <w:r w:rsidR="002567C7" w:rsidRPr="00977958">
        <w:rPr>
          <w:rFonts w:ascii="Garamond" w:hAnsi="Garamond"/>
          <w:sz w:val="24"/>
          <w:szCs w:val="24"/>
        </w:rPr>
        <w:t xml:space="preserve">themselves </w:t>
      </w:r>
      <w:r w:rsidRPr="00977958">
        <w:rPr>
          <w:rFonts w:ascii="Garamond" w:hAnsi="Garamond"/>
          <w:sz w:val="24"/>
          <w:szCs w:val="24"/>
        </w:rPr>
        <w:t>correlated.</w:t>
      </w:r>
      <w:r w:rsidR="001140C6" w:rsidRPr="00977958">
        <w:rPr>
          <w:rFonts w:ascii="Garamond" w:hAnsi="Garamond"/>
          <w:sz w:val="24"/>
          <w:szCs w:val="24"/>
        </w:rPr>
        <w:t xml:space="preserve"> </w:t>
      </w:r>
    </w:p>
    <w:p w:rsidR="00F21392" w:rsidRPr="00977958" w:rsidRDefault="00F21392" w:rsidP="00122B76">
      <w:pPr>
        <w:pStyle w:val="NoSpacing"/>
        <w:spacing w:line="360" w:lineRule="auto"/>
        <w:ind w:left="1276" w:hanging="1440"/>
        <w:jc w:val="both"/>
        <w:rPr>
          <w:rFonts w:ascii="Garamond" w:hAnsi="Garamond"/>
          <w:sz w:val="24"/>
          <w:szCs w:val="24"/>
        </w:rPr>
      </w:pPr>
      <w:r w:rsidRPr="00977958">
        <w:rPr>
          <w:rFonts w:ascii="Garamond" w:hAnsi="Garamond"/>
          <w:sz w:val="24"/>
          <w:szCs w:val="24"/>
        </w:rPr>
        <w:t>Step 3:</w:t>
      </w:r>
      <w:r w:rsidR="007A121C" w:rsidRPr="00977958">
        <w:rPr>
          <w:rFonts w:ascii="Garamond" w:hAnsi="Garamond"/>
          <w:sz w:val="24"/>
          <w:szCs w:val="24"/>
        </w:rPr>
        <w:tab/>
      </w:r>
      <w:r w:rsidRPr="00977958">
        <w:rPr>
          <w:rFonts w:ascii="Garamond" w:hAnsi="Garamond"/>
          <w:sz w:val="24"/>
          <w:szCs w:val="24"/>
        </w:rPr>
        <w:t xml:space="preserve">If there is evidence of correlation, </w:t>
      </w:r>
      <w:r w:rsidR="002567C7" w:rsidRPr="00977958">
        <w:rPr>
          <w:rFonts w:ascii="Garamond" w:hAnsi="Garamond"/>
          <w:sz w:val="24"/>
          <w:szCs w:val="24"/>
        </w:rPr>
        <w:t xml:space="preserve">apply </w:t>
      </w:r>
      <w:r w:rsidR="00D11719" w:rsidRPr="00977958">
        <w:rPr>
          <w:rFonts w:ascii="Garamond" w:hAnsi="Garamond"/>
          <w:sz w:val="24"/>
          <w:szCs w:val="24"/>
        </w:rPr>
        <w:t>orthogona</w:t>
      </w:r>
      <w:r w:rsidRPr="00977958">
        <w:rPr>
          <w:rFonts w:ascii="Garamond" w:hAnsi="Garamond"/>
          <w:sz w:val="24"/>
          <w:szCs w:val="24"/>
        </w:rPr>
        <w:t>liz</w:t>
      </w:r>
      <w:r w:rsidR="002567C7" w:rsidRPr="00977958">
        <w:rPr>
          <w:rFonts w:ascii="Garamond" w:hAnsi="Garamond"/>
          <w:sz w:val="24"/>
          <w:szCs w:val="24"/>
        </w:rPr>
        <w:t>ation procedures</w:t>
      </w:r>
      <w:r w:rsidRPr="00977958">
        <w:rPr>
          <w:rFonts w:ascii="Garamond" w:hAnsi="Garamond"/>
          <w:sz w:val="24"/>
          <w:szCs w:val="24"/>
        </w:rPr>
        <w:t xml:space="preserve"> to estimate the ‘pure’ </w:t>
      </w:r>
      <w:r w:rsidR="00B80D8C" w:rsidRPr="00977958">
        <w:rPr>
          <w:rFonts w:ascii="Garamond" w:hAnsi="Garamond"/>
          <w:sz w:val="24"/>
          <w:szCs w:val="24"/>
        </w:rPr>
        <w:t>component</w:t>
      </w:r>
      <w:r w:rsidRPr="00977958">
        <w:rPr>
          <w:rFonts w:ascii="Garamond" w:hAnsi="Garamond"/>
          <w:sz w:val="24"/>
          <w:szCs w:val="24"/>
        </w:rPr>
        <w:t xml:space="preserve"> of the </w:t>
      </w:r>
      <w:r w:rsidR="00B80D8C" w:rsidRPr="00977958">
        <w:rPr>
          <w:rFonts w:ascii="Garamond" w:hAnsi="Garamond"/>
          <w:sz w:val="24"/>
          <w:szCs w:val="24"/>
        </w:rPr>
        <w:t>potential explanatory variables</w:t>
      </w:r>
      <w:r w:rsidRPr="00977958">
        <w:rPr>
          <w:rFonts w:ascii="Garamond" w:hAnsi="Garamond"/>
          <w:sz w:val="24"/>
          <w:szCs w:val="24"/>
        </w:rPr>
        <w:t>.</w:t>
      </w:r>
    </w:p>
    <w:p w:rsidR="002567C7" w:rsidRPr="00977958" w:rsidRDefault="00F21392" w:rsidP="00122B76">
      <w:pPr>
        <w:pStyle w:val="NoSpacing"/>
        <w:spacing w:line="360" w:lineRule="auto"/>
        <w:ind w:left="1276" w:hanging="1440"/>
        <w:jc w:val="both"/>
        <w:rPr>
          <w:rFonts w:ascii="Garamond" w:hAnsi="Garamond"/>
          <w:sz w:val="24"/>
          <w:szCs w:val="24"/>
        </w:rPr>
      </w:pPr>
      <w:r w:rsidRPr="00977958">
        <w:rPr>
          <w:rFonts w:ascii="Garamond" w:hAnsi="Garamond"/>
          <w:sz w:val="24"/>
          <w:szCs w:val="24"/>
        </w:rPr>
        <w:t>Step 4:</w:t>
      </w:r>
      <w:r w:rsidR="007A121C" w:rsidRPr="00977958">
        <w:rPr>
          <w:rFonts w:ascii="Garamond" w:hAnsi="Garamond"/>
          <w:sz w:val="24"/>
          <w:szCs w:val="24"/>
        </w:rPr>
        <w:tab/>
      </w:r>
      <w:r w:rsidRPr="00977958">
        <w:rPr>
          <w:rFonts w:ascii="Garamond" w:hAnsi="Garamond"/>
          <w:sz w:val="24"/>
          <w:szCs w:val="24"/>
        </w:rPr>
        <w:t xml:space="preserve">Finally, estimate whether the variables identified in Steps 2 and 3 </w:t>
      </w:r>
      <w:r w:rsidR="00402163" w:rsidRPr="00977958">
        <w:rPr>
          <w:rFonts w:ascii="Garamond" w:hAnsi="Garamond"/>
          <w:sz w:val="24"/>
          <w:szCs w:val="24"/>
        </w:rPr>
        <w:t>are significant determinants of</w:t>
      </w:r>
      <w:r w:rsidRPr="00977958">
        <w:rPr>
          <w:rFonts w:ascii="Garamond" w:hAnsi="Garamond"/>
          <w:sz w:val="24"/>
          <w:szCs w:val="24"/>
        </w:rPr>
        <w:t xml:space="preserve"> the unexplained variance</w:t>
      </w:r>
      <w:r w:rsidR="00402163" w:rsidRPr="00977958">
        <w:rPr>
          <w:rFonts w:ascii="Garamond" w:hAnsi="Garamond"/>
          <w:sz w:val="24"/>
          <w:szCs w:val="24"/>
        </w:rPr>
        <w:t xml:space="preserve"> in </w:t>
      </w:r>
      <w:r w:rsidR="000D186C" w:rsidRPr="00977958">
        <w:rPr>
          <w:rFonts w:ascii="Garamond" w:hAnsi="Garamond"/>
          <w:sz w:val="24"/>
          <w:szCs w:val="24"/>
        </w:rPr>
        <w:t>capitalization</w:t>
      </w:r>
      <w:r w:rsidR="00402163" w:rsidRPr="00977958">
        <w:rPr>
          <w:rFonts w:ascii="Garamond" w:hAnsi="Garamond"/>
          <w:sz w:val="24"/>
          <w:szCs w:val="24"/>
        </w:rPr>
        <w:t xml:space="preserve"> rates</w:t>
      </w:r>
      <w:r w:rsidRPr="00977958">
        <w:rPr>
          <w:rFonts w:ascii="Garamond" w:hAnsi="Garamond"/>
          <w:sz w:val="24"/>
          <w:szCs w:val="24"/>
        </w:rPr>
        <w:t xml:space="preserve"> estimated in Step 1</w:t>
      </w:r>
      <w:r w:rsidR="004041DC" w:rsidRPr="00977958">
        <w:rPr>
          <w:rFonts w:ascii="Garamond" w:hAnsi="Garamond"/>
          <w:sz w:val="24"/>
          <w:szCs w:val="24"/>
        </w:rPr>
        <w:t>.</w:t>
      </w:r>
      <w:r w:rsidRPr="00977958">
        <w:rPr>
          <w:rFonts w:ascii="Garamond" w:hAnsi="Garamond"/>
          <w:sz w:val="24"/>
          <w:szCs w:val="24"/>
        </w:rPr>
        <w:t xml:space="preserve"> </w:t>
      </w:r>
    </w:p>
    <w:p w:rsidR="002567C7" w:rsidRPr="00977958" w:rsidRDefault="002567C7" w:rsidP="002567C7">
      <w:pPr>
        <w:pStyle w:val="NoSpacing"/>
        <w:spacing w:line="360" w:lineRule="auto"/>
        <w:ind w:left="1440" w:hanging="1440"/>
        <w:jc w:val="both"/>
        <w:rPr>
          <w:rFonts w:ascii="Garamond" w:hAnsi="Garamond"/>
          <w:sz w:val="24"/>
          <w:szCs w:val="24"/>
        </w:rPr>
      </w:pPr>
    </w:p>
    <w:p w:rsidR="00DC42EF" w:rsidRPr="00977958" w:rsidRDefault="00DC42EF" w:rsidP="002567C7">
      <w:pPr>
        <w:pStyle w:val="NoSpacing"/>
        <w:spacing w:line="360" w:lineRule="auto"/>
        <w:ind w:left="1440" w:hanging="1440"/>
        <w:jc w:val="both"/>
        <w:rPr>
          <w:rFonts w:ascii="Garamond" w:hAnsi="Garamond"/>
          <w:sz w:val="24"/>
          <w:szCs w:val="24"/>
        </w:rPr>
      </w:pPr>
      <w:r w:rsidRPr="00977958">
        <w:rPr>
          <w:rFonts w:ascii="Garamond" w:hAnsi="Garamond"/>
          <w:sz w:val="24"/>
          <w:szCs w:val="24"/>
        </w:rPr>
        <w:t>We discuss these procedures in more detail below.</w:t>
      </w:r>
    </w:p>
    <w:p w:rsidR="00DC42EF" w:rsidRPr="00977958" w:rsidRDefault="00DC42EF" w:rsidP="00DC42EF">
      <w:pPr>
        <w:spacing w:line="360" w:lineRule="auto"/>
        <w:jc w:val="both"/>
        <w:rPr>
          <w:rFonts w:ascii="Garamond" w:hAnsi="Garamond"/>
          <w:sz w:val="24"/>
          <w:szCs w:val="24"/>
        </w:rPr>
      </w:pPr>
      <w:r w:rsidRPr="00977958">
        <w:rPr>
          <w:rFonts w:ascii="Garamond" w:hAnsi="Garamond"/>
          <w:sz w:val="24"/>
          <w:szCs w:val="24"/>
        </w:rPr>
        <w:t xml:space="preserve">The literature has proposed inclusion of other macro-economic controls as well such as capital market risk premium (or, a risk factor) or debt availability (or, a measure of domestic bank lending as a share of GDP) as in equation (2). </w:t>
      </w:r>
    </w:p>
    <w:p w:rsidR="007341DA" w:rsidRPr="00977958" w:rsidRDefault="007341DA" w:rsidP="00DC42EF">
      <w:pPr>
        <w:spacing w:line="360" w:lineRule="auto"/>
        <w:jc w:val="both"/>
        <w:rPr>
          <w:rFonts w:ascii="Garamond" w:hAnsi="Garamond"/>
          <w:sz w:val="24"/>
          <w:szCs w:val="24"/>
        </w:rPr>
      </w:pPr>
    </w:p>
    <w:p w:rsidR="00DC42EF" w:rsidRPr="00977958" w:rsidRDefault="007A121C" w:rsidP="007341DA">
      <w:pPr>
        <w:spacing w:line="360" w:lineRule="auto"/>
        <w:jc w:val="center"/>
        <w:rPr>
          <w:rFonts w:ascii="Garamond" w:hAnsi="Garamond"/>
          <w:sz w:val="24"/>
          <w:szCs w:val="24"/>
        </w:rPr>
      </w:pPr>
      <w:r w:rsidRPr="00977958">
        <w:rPr>
          <w:rFonts w:ascii="Garamond" w:hAnsi="Garamond"/>
          <w:position w:val="-12"/>
          <w:sz w:val="24"/>
          <w:szCs w:val="24"/>
        </w:rPr>
        <w:object w:dxaOrig="8180" w:dyaOrig="360">
          <v:shape id="_x0000_i1026" type="#_x0000_t75" style="width:408.9pt;height:19pt" o:ole="">
            <v:imagedata r:id="rId11" o:title=""/>
          </v:shape>
          <o:OLEObject Type="Embed" ProgID="Equation.3" ShapeID="_x0000_i1026" DrawAspect="Content" ObjectID="_1493563884" r:id="rId12"/>
        </w:object>
      </w:r>
      <w:r w:rsidR="00DC42EF" w:rsidRPr="00977958">
        <w:rPr>
          <w:rFonts w:ascii="Garamond" w:hAnsi="Garamond"/>
          <w:sz w:val="24"/>
          <w:szCs w:val="24"/>
        </w:rPr>
        <w:t xml:space="preserve">   </w:t>
      </w:r>
      <w:r w:rsidR="00DC42EF" w:rsidRPr="00977958">
        <w:rPr>
          <w:rFonts w:ascii="Garamond" w:hAnsi="Garamond"/>
          <w:sz w:val="24"/>
          <w:szCs w:val="24"/>
        </w:rPr>
        <w:tab/>
        <w:t>(2)</w:t>
      </w:r>
    </w:p>
    <w:p w:rsidR="00446DB0" w:rsidRDefault="00446DB0" w:rsidP="00DC42EF">
      <w:pPr>
        <w:spacing w:line="360" w:lineRule="auto"/>
        <w:jc w:val="both"/>
        <w:rPr>
          <w:rFonts w:ascii="Garamond" w:hAnsi="Garamond"/>
          <w:sz w:val="24"/>
          <w:szCs w:val="24"/>
        </w:rPr>
      </w:pPr>
    </w:p>
    <w:p w:rsidR="00DC42EF" w:rsidRPr="00977958" w:rsidRDefault="00DC42EF" w:rsidP="00DC42EF">
      <w:pPr>
        <w:spacing w:line="360" w:lineRule="auto"/>
        <w:jc w:val="both"/>
        <w:rPr>
          <w:rFonts w:ascii="Garamond" w:hAnsi="Garamond"/>
          <w:sz w:val="24"/>
          <w:szCs w:val="24"/>
          <w:lang w:val="en-US"/>
        </w:rPr>
      </w:pPr>
      <w:r w:rsidRPr="00977958">
        <w:rPr>
          <w:rFonts w:ascii="Garamond" w:hAnsi="Garamond"/>
          <w:sz w:val="24"/>
          <w:szCs w:val="24"/>
        </w:rPr>
        <w:t xml:space="preserve">Equation (2) is our baseline cap rate model, in line with the literature. While the parsimonious specifications in equations (1) and (2) are quite attractive, those are fraught with some severe econometric biases. First, although real rent ratio by definition is able to capture much of the local real estate market characteristics, city level data is notorious in terms of having a significant amount of unobserved heterogeneity. Unobserved heterogeneity may be modelled as fixed </w:t>
      </w:r>
      <w:r w:rsidRPr="00977958">
        <w:rPr>
          <w:rFonts w:ascii="Garamond" w:hAnsi="Garamond"/>
          <w:sz w:val="24"/>
          <w:szCs w:val="24"/>
        </w:rPr>
        <w:lastRenderedPageBreak/>
        <w:t>effects, after conducting the Heckman’s specification test. However, we envisage that fixed effect modelling may be more appropriate than random effect modelling due to presence of small number of cross-sections. The advantage of this method is that it allows us to</w:t>
      </w:r>
      <w:r w:rsidR="005F7CDB" w:rsidRPr="00977958">
        <w:rPr>
          <w:rFonts w:ascii="Garamond" w:hAnsi="Garamond"/>
          <w:sz w:val="24"/>
          <w:szCs w:val="24"/>
        </w:rPr>
        <w:t xml:space="preserve"> use both time series and cross-</w:t>
      </w:r>
      <w:r w:rsidRPr="00977958">
        <w:rPr>
          <w:rFonts w:ascii="Garamond" w:hAnsi="Garamond"/>
          <w:sz w:val="24"/>
          <w:szCs w:val="24"/>
        </w:rPr>
        <w:t>sectional variations in the data, which increases the efficiency of the OLS estimates. A potential bias in estimating equation (2) is the possibility of correlation between unobserved heterogeneity at the local area level and the observables, which would violate standard assumptions of OLS estimation. Therefore, the disturbance term in equation (2) is specified as a two-way error component capturing</w:t>
      </w:r>
      <w:r w:rsidRPr="00977958">
        <w:rPr>
          <w:rFonts w:ascii="Garamond" w:hAnsi="Garamond"/>
          <w:sz w:val="24"/>
          <w:szCs w:val="24"/>
          <w:lang w:val="en-US"/>
        </w:rPr>
        <w:t xml:space="preserve"> city fixed effects and time-specific effects. </w:t>
      </w:r>
    </w:p>
    <w:p w:rsidR="00DC42EF" w:rsidRPr="00977958" w:rsidRDefault="00DC42EF" w:rsidP="00DC42EF">
      <w:pPr>
        <w:spacing w:line="360" w:lineRule="auto"/>
        <w:jc w:val="both"/>
        <w:rPr>
          <w:rFonts w:ascii="Garamond" w:hAnsi="Garamond"/>
          <w:sz w:val="24"/>
          <w:szCs w:val="24"/>
          <w:lang w:val="en-US"/>
        </w:rPr>
      </w:pPr>
    </w:p>
    <w:p w:rsidR="00DC42EF" w:rsidRPr="00977958" w:rsidRDefault="00DC42EF" w:rsidP="00DC42EF">
      <w:pPr>
        <w:spacing w:line="360" w:lineRule="auto"/>
        <w:jc w:val="both"/>
        <w:rPr>
          <w:rFonts w:ascii="Garamond" w:hAnsi="Garamond"/>
          <w:sz w:val="24"/>
          <w:szCs w:val="24"/>
          <w:lang w:val="en-US"/>
        </w:rPr>
      </w:pPr>
      <w:r w:rsidRPr="00977958">
        <w:rPr>
          <w:rFonts w:ascii="Garamond" w:hAnsi="Garamond"/>
          <w:sz w:val="24"/>
          <w:szCs w:val="24"/>
          <w:lang w:val="en-US"/>
        </w:rPr>
        <w:t xml:space="preserve">       </w:t>
      </w:r>
      <w:r w:rsidRPr="00977958">
        <w:rPr>
          <w:rFonts w:ascii="Garamond" w:hAnsi="Garamond"/>
          <w:sz w:val="24"/>
          <w:szCs w:val="24"/>
          <w:lang w:val="en-US"/>
        </w:rPr>
        <w:tab/>
      </w:r>
      <w:r w:rsidRPr="00977958">
        <w:rPr>
          <w:rFonts w:ascii="Garamond" w:hAnsi="Garamond"/>
          <w:sz w:val="24"/>
          <w:szCs w:val="24"/>
          <w:lang w:val="en-US"/>
        </w:rPr>
        <w:tab/>
        <w:t xml:space="preserve">             </w:t>
      </w:r>
      <w:r w:rsidRPr="00977958">
        <w:rPr>
          <w:rFonts w:ascii="Garamond" w:hAnsi="Garamond"/>
          <w:sz w:val="24"/>
          <w:szCs w:val="24"/>
          <w:lang w:val="en-US"/>
        </w:rPr>
        <w:object w:dxaOrig="1650" w:dyaOrig="390">
          <v:shape id="_x0000_i1027" type="#_x0000_t75" style="width:81.5pt;height:20.4pt" o:ole="">
            <v:imagedata r:id="rId13" o:title=""/>
          </v:shape>
          <o:OLEObject Type="Embed" ProgID="Equation.DSMT4" ShapeID="_x0000_i1027" DrawAspect="Content" ObjectID="_1493563885" r:id="rId14"/>
        </w:object>
      </w:r>
      <w:r w:rsidRPr="00977958">
        <w:rPr>
          <w:rFonts w:ascii="Garamond" w:hAnsi="Garamond"/>
          <w:sz w:val="24"/>
          <w:szCs w:val="24"/>
          <w:lang w:val="en-US"/>
        </w:rPr>
        <w:t xml:space="preserve">                                                   </w:t>
      </w:r>
      <w:r w:rsidR="00B46A30" w:rsidRPr="00977958">
        <w:rPr>
          <w:rFonts w:ascii="Garamond" w:hAnsi="Garamond"/>
          <w:sz w:val="24"/>
          <w:szCs w:val="24"/>
          <w:lang w:val="en-US"/>
        </w:rPr>
        <w:t xml:space="preserve">                              </w:t>
      </w:r>
      <w:r w:rsidRPr="00977958">
        <w:rPr>
          <w:rFonts w:ascii="Garamond" w:hAnsi="Garamond"/>
          <w:sz w:val="24"/>
          <w:szCs w:val="24"/>
          <w:lang w:val="en-US"/>
        </w:rPr>
        <w:t xml:space="preserve">(3) </w:t>
      </w:r>
    </w:p>
    <w:p w:rsidR="00DC42EF" w:rsidRPr="00977958" w:rsidRDefault="00DC42EF" w:rsidP="00DC42EF">
      <w:pPr>
        <w:spacing w:line="360" w:lineRule="auto"/>
        <w:jc w:val="both"/>
        <w:rPr>
          <w:rFonts w:ascii="Garamond" w:hAnsi="Garamond"/>
          <w:sz w:val="24"/>
          <w:szCs w:val="24"/>
          <w:lang w:val="en-US"/>
        </w:rPr>
      </w:pPr>
      <w:r w:rsidRPr="00977958">
        <w:rPr>
          <w:rFonts w:ascii="Garamond" w:hAnsi="Garamond"/>
          <w:sz w:val="24"/>
          <w:szCs w:val="24"/>
          <w:lang w:val="en-US"/>
        </w:rPr>
        <w:t xml:space="preserve">i.e. </w:t>
      </w:r>
    </w:p>
    <w:p w:rsidR="007A121C" w:rsidRPr="00977958" w:rsidRDefault="007A121C" w:rsidP="00DC42EF">
      <w:pPr>
        <w:spacing w:line="360" w:lineRule="auto"/>
        <w:jc w:val="both"/>
        <w:rPr>
          <w:rFonts w:ascii="Garamond" w:hAnsi="Garamond"/>
          <w:sz w:val="24"/>
          <w:szCs w:val="24"/>
        </w:rPr>
      </w:pPr>
      <w:r w:rsidRPr="00977958">
        <w:rPr>
          <w:rFonts w:ascii="Garamond" w:hAnsi="Garamond"/>
          <w:position w:val="-12"/>
          <w:sz w:val="24"/>
          <w:szCs w:val="24"/>
        </w:rPr>
        <w:object w:dxaOrig="9139" w:dyaOrig="360">
          <v:shape id="_x0000_i1028" type="#_x0000_t75" style="width:440.85pt;height:19pt" o:ole="">
            <v:imagedata r:id="rId15" o:title=""/>
          </v:shape>
          <o:OLEObject Type="Embed" ProgID="Equation.3" ShapeID="_x0000_i1028" DrawAspect="Content" ObjectID="_1493563886" r:id="rId16"/>
        </w:object>
      </w:r>
      <w:r w:rsidR="00DC42EF" w:rsidRPr="00977958">
        <w:rPr>
          <w:rFonts w:ascii="Garamond" w:hAnsi="Garamond"/>
          <w:sz w:val="24"/>
          <w:szCs w:val="24"/>
        </w:rPr>
        <w:t xml:space="preserve">  </w:t>
      </w:r>
      <w:r w:rsidR="00B46A30" w:rsidRPr="00977958">
        <w:rPr>
          <w:rFonts w:ascii="Garamond" w:hAnsi="Garamond"/>
          <w:sz w:val="24"/>
          <w:szCs w:val="24"/>
        </w:rPr>
        <w:t xml:space="preserve">  </w:t>
      </w:r>
      <w:r w:rsidRPr="00977958">
        <w:rPr>
          <w:rFonts w:ascii="Garamond" w:hAnsi="Garamond"/>
          <w:sz w:val="24"/>
          <w:szCs w:val="24"/>
        </w:rPr>
        <w:t xml:space="preserve"> </w:t>
      </w:r>
    </w:p>
    <w:p w:rsidR="00DC42EF" w:rsidRPr="00977958" w:rsidRDefault="007A121C" w:rsidP="00DC42EF">
      <w:pPr>
        <w:spacing w:line="360" w:lineRule="auto"/>
        <w:jc w:val="both"/>
        <w:rPr>
          <w:rFonts w:ascii="Garamond" w:hAnsi="Garamond"/>
          <w:sz w:val="24"/>
          <w:szCs w:val="24"/>
          <w:lang w:val="en-US"/>
        </w:rPr>
      </w:pPr>
      <w:r w:rsidRPr="00977958">
        <w:rPr>
          <w:rFonts w:ascii="Garamond" w:hAnsi="Garamond"/>
          <w:sz w:val="24"/>
          <w:szCs w:val="24"/>
        </w:rPr>
        <w:t xml:space="preserve">  </w:t>
      </w: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t xml:space="preserve">  </w:t>
      </w:r>
      <w:r w:rsidR="00DC42EF" w:rsidRPr="00977958">
        <w:rPr>
          <w:rFonts w:ascii="Garamond" w:hAnsi="Garamond"/>
          <w:sz w:val="24"/>
          <w:szCs w:val="24"/>
        </w:rPr>
        <w:t>(4)</w:t>
      </w:r>
    </w:p>
    <w:p w:rsidR="00DC42EF" w:rsidRPr="00977958" w:rsidRDefault="00DC42EF" w:rsidP="00DC42EF">
      <w:pPr>
        <w:spacing w:line="360" w:lineRule="auto"/>
        <w:jc w:val="both"/>
        <w:rPr>
          <w:rFonts w:ascii="Garamond" w:hAnsi="Garamond"/>
          <w:sz w:val="24"/>
          <w:szCs w:val="24"/>
          <w:lang w:val="en-US"/>
        </w:rPr>
      </w:pPr>
    </w:p>
    <w:p w:rsidR="00DC42EF" w:rsidRPr="00977958" w:rsidRDefault="00DC42EF" w:rsidP="00DC42EF">
      <w:pPr>
        <w:spacing w:line="360" w:lineRule="auto"/>
        <w:jc w:val="both"/>
        <w:rPr>
          <w:rFonts w:ascii="Garamond" w:hAnsi="Garamond"/>
          <w:sz w:val="24"/>
          <w:szCs w:val="24"/>
          <w:lang w:val="en-US"/>
        </w:rPr>
      </w:pPr>
      <w:r w:rsidRPr="00977958">
        <w:rPr>
          <w:rFonts w:ascii="Garamond" w:hAnsi="Garamond"/>
          <w:sz w:val="24"/>
          <w:szCs w:val="24"/>
          <w:lang w:val="en-US"/>
        </w:rPr>
        <w:t xml:space="preserve">where </w:t>
      </w:r>
      <w:r w:rsidRPr="00977958">
        <w:rPr>
          <w:rFonts w:ascii="Garamond" w:hAnsi="Garamond"/>
          <w:sz w:val="24"/>
          <w:szCs w:val="24"/>
          <w:lang w:val="en-US"/>
        </w:rPr>
        <w:object w:dxaOrig="260" w:dyaOrig="360">
          <v:shape id="_x0000_i1029" type="#_x0000_t75" style="width:12.9pt;height:19pt" o:ole="">
            <v:imagedata r:id="rId17" o:title=""/>
          </v:shape>
          <o:OLEObject Type="Embed" ProgID="Equation.DSMT4" ShapeID="_x0000_i1029" DrawAspect="Content" ObjectID="_1493563887" r:id="rId18"/>
        </w:object>
      </w:r>
      <w:r w:rsidRPr="00977958">
        <w:rPr>
          <w:rFonts w:ascii="Garamond" w:hAnsi="Garamond"/>
          <w:sz w:val="24"/>
          <w:szCs w:val="24"/>
          <w:lang w:val="en-US"/>
        </w:rPr>
        <w:t xml:space="preserve">denotes </w:t>
      </w:r>
      <w:r w:rsidR="003222AA" w:rsidRPr="00977958">
        <w:rPr>
          <w:rFonts w:ascii="Garamond" w:hAnsi="Garamond"/>
          <w:sz w:val="24"/>
          <w:szCs w:val="24"/>
          <w:lang w:val="en-US"/>
        </w:rPr>
        <w:t>city</w:t>
      </w:r>
      <w:r w:rsidRPr="00977958">
        <w:rPr>
          <w:rFonts w:ascii="Garamond" w:hAnsi="Garamond"/>
          <w:sz w:val="24"/>
          <w:szCs w:val="24"/>
          <w:lang w:val="en-US"/>
        </w:rPr>
        <w:t xml:space="preserve"> fixed effects and </w:t>
      </w:r>
      <w:r w:rsidRPr="00977958">
        <w:rPr>
          <w:rFonts w:ascii="Garamond" w:hAnsi="Garamond"/>
          <w:sz w:val="24"/>
          <w:szCs w:val="24"/>
          <w:lang w:val="en-US"/>
        </w:rPr>
        <w:object w:dxaOrig="240" w:dyaOrig="360">
          <v:shape id="_x0000_i1030" type="#_x0000_t75" style="width:12.9pt;height:19pt" o:ole="">
            <v:imagedata r:id="rId19" o:title=""/>
          </v:shape>
          <o:OLEObject Type="Embed" ProgID="Equation.DSMT4" ShapeID="_x0000_i1030" DrawAspect="Content" ObjectID="_1493563888" r:id="rId20"/>
        </w:object>
      </w:r>
      <w:r w:rsidRPr="00977958">
        <w:rPr>
          <w:rFonts w:ascii="Garamond" w:hAnsi="Garamond"/>
          <w:sz w:val="24"/>
          <w:szCs w:val="24"/>
          <w:lang w:val="en-US"/>
        </w:rPr>
        <w:t xml:space="preserve"> time-specific effects. In this fixed effect specification, heterogeneity is assumed to be constant over time and correlated with observables. The constant effect is removed by mean-differencing (or first differencing) the data. This estimation strategy is consistent with theoretical expectations that market-specific unobserved characteristics can bring in permanent shift in key real estate indicators such as rental growth, capital value growth, vacancy rate, net absorption and capitalization rate across markets. The fundamental demand and supply shifters can also reflect the unobserved heterogeneity. </w:t>
      </w:r>
      <w:r w:rsidR="005F7CDB" w:rsidRPr="00977958">
        <w:rPr>
          <w:rFonts w:ascii="Garamond" w:hAnsi="Garamond"/>
          <w:sz w:val="24"/>
          <w:szCs w:val="24"/>
          <w:lang w:val="en-US"/>
        </w:rPr>
        <w:t>A</w:t>
      </w:r>
      <w:r w:rsidRPr="00977958">
        <w:rPr>
          <w:rFonts w:ascii="Garamond" w:hAnsi="Garamond"/>
          <w:sz w:val="24"/>
          <w:szCs w:val="24"/>
          <w:lang w:val="en-US"/>
        </w:rPr>
        <w:t xml:space="preserve"> two-way error component model would allow us to control for these unobservables.</w:t>
      </w:r>
    </w:p>
    <w:p w:rsidR="00DC42EF" w:rsidRPr="00977958" w:rsidRDefault="00DC42EF" w:rsidP="00DC42EF">
      <w:pPr>
        <w:spacing w:line="360" w:lineRule="auto"/>
        <w:jc w:val="both"/>
        <w:rPr>
          <w:rFonts w:ascii="Garamond" w:hAnsi="Garamond"/>
          <w:sz w:val="24"/>
          <w:szCs w:val="24"/>
          <w:lang w:val="en-US"/>
        </w:rPr>
      </w:pPr>
      <w:r w:rsidRPr="00977958">
        <w:rPr>
          <w:rFonts w:ascii="Garamond" w:hAnsi="Garamond"/>
          <w:sz w:val="24"/>
          <w:szCs w:val="24"/>
          <w:lang w:val="en-US"/>
        </w:rPr>
        <w:t xml:space="preserve"> </w:t>
      </w:r>
    </w:p>
    <w:p w:rsidR="00DC42EF" w:rsidRPr="00977958" w:rsidRDefault="00DC42EF" w:rsidP="00DC42EF">
      <w:pPr>
        <w:spacing w:line="360" w:lineRule="auto"/>
        <w:jc w:val="both"/>
        <w:rPr>
          <w:rFonts w:ascii="Garamond" w:hAnsi="Garamond"/>
          <w:sz w:val="24"/>
          <w:szCs w:val="24"/>
          <w:lang w:val="en-US"/>
        </w:rPr>
      </w:pPr>
      <w:r w:rsidRPr="00977958">
        <w:rPr>
          <w:rFonts w:ascii="Garamond" w:hAnsi="Garamond"/>
          <w:sz w:val="24"/>
          <w:szCs w:val="24"/>
          <w:lang w:val="en-US"/>
        </w:rPr>
        <w:t xml:space="preserve">Second, the fixed effect approach in equation (4) indicates another potential bias i.e. dynamic panel </w:t>
      </w:r>
      <w:r w:rsidR="003222AA" w:rsidRPr="00977958">
        <w:rPr>
          <w:rFonts w:ascii="Garamond" w:hAnsi="Garamond"/>
          <w:sz w:val="24"/>
          <w:szCs w:val="24"/>
          <w:lang w:val="en-US"/>
        </w:rPr>
        <w:t>bias. Each cross-section or city</w:t>
      </w:r>
      <w:r w:rsidRPr="00977958">
        <w:rPr>
          <w:rFonts w:ascii="Garamond" w:hAnsi="Garamond"/>
          <w:sz w:val="24"/>
          <w:szCs w:val="24"/>
          <w:lang w:val="en-US"/>
        </w:rPr>
        <w:t xml:space="preserve"> may follow its own error process. It is quite conceivable that a city would have panel-specific heteroscedasticity and auto-correlation process. This calls for incorporating the panel-specific variations into the parameter estimates. To address this issue, we follow a Feasible Generali</w:t>
      </w:r>
      <w:r w:rsidR="00977958" w:rsidRPr="00977958">
        <w:rPr>
          <w:rFonts w:ascii="Garamond" w:hAnsi="Garamond"/>
          <w:sz w:val="24"/>
          <w:szCs w:val="24"/>
          <w:lang w:val="en-US"/>
        </w:rPr>
        <w:t>z</w:t>
      </w:r>
      <w:r w:rsidRPr="00977958">
        <w:rPr>
          <w:rFonts w:ascii="Garamond" w:hAnsi="Garamond"/>
          <w:sz w:val="24"/>
          <w:szCs w:val="24"/>
          <w:lang w:val="en-US"/>
        </w:rPr>
        <w:t>ed Least Squares (FGLS) procedure that allows panel specific AR(1) process using first-differenced data.</w:t>
      </w:r>
    </w:p>
    <w:p w:rsidR="00DC42EF" w:rsidRPr="00977958" w:rsidRDefault="00DC42EF" w:rsidP="00DC42EF">
      <w:pPr>
        <w:spacing w:line="360" w:lineRule="auto"/>
        <w:jc w:val="both"/>
        <w:rPr>
          <w:rFonts w:ascii="Garamond" w:hAnsi="Garamond"/>
          <w:sz w:val="24"/>
          <w:szCs w:val="24"/>
          <w:lang w:val="en-US"/>
        </w:rPr>
      </w:pPr>
    </w:p>
    <w:p w:rsidR="00DC42EF" w:rsidRPr="00977958" w:rsidRDefault="00DC42EF" w:rsidP="00DC42EF">
      <w:pPr>
        <w:spacing w:line="360" w:lineRule="auto"/>
        <w:jc w:val="both"/>
        <w:rPr>
          <w:rFonts w:ascii="Garamond" w:hAnsi="Garamond"/>
          <w:sz w:val="24"/>
          <w:szCs w:val="24"/>
        </w:rPr>
      </w:pPr>
      <w:r w:rsidRPr="00977958">
        <w:rPr>
          <w:rFonts w:ascii="Garamond" w:hAnsi="Garamond"/>
          <w:sz w:val="24"/>
          <w:szCs w:val="24"/>
          <w:lang w:val="en-US"/>
        </w:rPr>
        <w:t xml:space="preserve">Third, </w:t>
      </w:r>
      <w:r w:rsidRPr="00977958">
        <w:rPr>
          <w:rFonts w:ascii="Garamond" w:hAnsi="Garamond"/>
          <w:sz w:val="24"/>
          <w:szCs w:val="24"/>
        </w:rPr>
        <w:t>a key variable in our study is proportion of foreign or non-domestic transactions (</w:t>
      </w:r>
      <w:r w:rsidRPr="00977958">
        <w:rPr>
          <w:rFonts w:ascii="Garamond" w:hAnsi="Garamond"/>
          <w:i/>
          <w:sz w:val="24"/>
          <w:szCs w:val="24"/>
        </w:rPr>
        <w:t>I</w:t>
      </w:r>
      <w:r w:rsidRPr="00977958">
        <w:rPr>
          <w:rFonts w:ascii="Garamond" w:hAnsi="Garamond"/>
          <w:i/>
          <w:sz w:val="24"/>
          <w:szCs w:val="24"/>
          <w:vertAlign w:val="subscript"/>
        </w:rPr>
        <w:t>it</w:t>
      </w:r>
      <w:r w:rsidRPr="00977958">
        <w:rPr>
          <w:rFonts w:ascii="Garamond" w:hAnsi="Garamond"/>
          <w:sz w:val="24"/>
          <w:szCs w:val="24"/>
        </w:rPr>
        <w:t>), which can now be incorporated as follows:</w:t>
      </w:r>
    </w:p>
    <w:p w:rsidR="00122B76" w:rsidRDefault="00DC42EF" w:rsidP="008C5226">
      <w:pPr>
        <w:spacing w:line="360" w:lineRule="auto"/>
        <w:rPr>
          <w:rFonts w:ascii="Garamond" w:hAnsi="Garamond"/>
          <w:sz w:val="24"/>
          <w:szCs w:val="24"/>
        </w:rPr>
      </w:pPr>
      <w:r w:rsidRPr="00977958">
        <w:rPr>
          <w:rFonts w:ascii="Garamond" w:hAnsi="Garamond"/>
          <w:sz w:val="24"/>
          <w:szCs w:val="24"/>
        </w:rPr>
        <w:lastRenderedPageBreak/>
        <w:t xml:space="preserve">                     </w:t>
      </w:r>
      <w:r w:rsidR="008C5226" w:rsidRPr="00977958">
        <w:rPr>
          <w:rFonts w:ascii="Garamond" w:hAnsi="Garamond"/>
          <w:position w:val="-32"/>
          <w:sz w:val="24"/>
          <w:szCs w:val="24"/>
        </w:rPr>
        <w:object w:dxaOrig="7140" w:dyaOrig="760">
          <v:shape id="_x0000_i1031" type="#_x0000_t75" style="width:408.9pt;height:39.4pt" o:ole="">
            <v:imagedata r:id="rId21" o:title=""/>
          </v:shape>
          <o:OLEObject Type="Embed" ProgID="Equation.3" ShapeID="_x0000_i1031" DrawAspect="Content" ObjectID="_1493563889" r:id="rId22"/>
        </w:object>
      </w:r>
      <w:r w:rsidR="00122B76">
        <w:rPr>
          <w:rFonts w:ascii="Garamond" w:hAnsi="Garamond"/>
          <w:sz w:val="24"/>
          <w:szCs w:val="24"/>
        </w:rPr>
        <w:t xml:space="preserve"> </w:t>
      </w:r>
    </w:p>
    <w:p w:rsidR="00DC42EF" w:rsidRPr="00977958" w:rsidRDefault="00E83CD4" w:rsidP="00122B76">
      <w:pPr>
        <w:spacing w:line="360" w:lineRule="auto"/>
        <w:ind w:left="7920" w:firstLine="720"/>
        <w:rPr>
          <w:rFonts w:ascii="Garamond" w:hAnsi="Garamond"/>
          <w:sz w:val="24"/>
          <w:szCs w:val="24"/>
        </w:rPr>
      </w:pPr>
      <w:r w:rsidRPr="00977958">
        <w:rPr>
          <w:rFonts w:ascii="Garamond" w:hAnsi="Garamond"/>
          <w:sz w:val="24"/>
          <w:szCs w:val="24"/>
        </w:rPr>
        <w:t xml:space="preserve">  </w:t>
      </w:r>
      <w:r w:rsidR="00DC42EF" w:rsidRPr="00977958">
        <w:rPr>
          <w:rFonts w:ascii="Garamond" w:hAnsi="Garamond"/>
          <w:sz w:val="24"/>
          <w:szCs w:val="24"/>
        </w:rPr>
        <w:t>(5)</w:t>
      </w:r>
    </w:p>
    <w:p w:rsidR="007A121C" w:rsidRPr="00977958" w:rsidRDefault="007A121C" w:rsidP="00DC42EF">
      <w:pPr>
        <w:spacing w:line="360" w:lineRule="auto"/>
        <w:jc w:val="both"/>
        <w:rPr>
          <w:rFonts w:ascii="Garamond" w:hAnsi="Garamond"/>
          <w:sz w:val="24"/>
          <w:szCs w:val="24"/>
          <w:lang w:val="en-US"/>
        </w:rPr>
      </w:pPr>
    </w:p>
    <w:p w:rsidR="00DC42EF" w:rsidRPr="00977958" w:rsidRDefault="00DC42EF" w:rsidP="00DC42EF">
      <w:pPr>
        <w:spacing w:line="360" w:lineRule="auto"/>
        <w:jc w:val="both"/>
        <w:rPr>
          <w:rFonts w:ascii="Garamond" w:hAnsi="Garamond"/>
          <w:sz w:val="24"/>
          <w:szCs w:val="24"/>
        </w:rPr>
      </w:pPr>
      <w:r w:rsidRPr="00977958">
        <w:rPr>
          <w:rFonts w:ascii="Garamond" w:hAnsi="Garamond"/>
          <w:sz w:val="24"/>
          <w:szCs w:val="24"/>
          <w:lang w:val="en-US"/>
        </w:rPr>
        <w:t>An important</w:t>
      </w:r>
      <w:r w:rsidRPr="00977958">
        <w:rPr>
          <w:rFonts w:ascii="Garamond" w:hAnsi="Garamond"/>
          <w:sz w:val="24"/>
          <w:szCs w:val="24"/>
        </w:rPr>
        <w:t xml:space="preserve"> concern with above estimation procedure is the potential simultaneity of relationships. The key issue is that an omitted variable(s) may be jointly determining capitalization rates (</w:t>
      </w:r>
      <w:r w:rsidRPr="00977958">
        <w:rPr>
          <w:rFonts w:ascii="Garamond" w:hAnsi="Garamond"/>
          <w:i/>
          <w:sz w:val="24"/>
          <w:szCs w:val="24"/>
        </w:rPr>
        <w:t>k</w:t>
      </w:r>
      <w:r w:rsidRPr="00977958">
        <w:rPr>
          <w:rFonts w:ascii="Garamond" w:hAnsi="Garamond"/>
          <w:i/>
          <w:sz w:val="24"/>
          <w:szCs w:val="24"/>
          <w:vertAlign w:val="subscript"/>
        </w:rPr>
        <w:t>it</w:t>
      </w:r>
      <w:r w:rsidRPr="00977958">
        <w:rPr>
          <w:rFonts w:ascii="Garamond" w:hAnsi="Garamond"/>
          <w:sz w:val="24"/>
          <w:szCs w:val="24"/>
        </w:rPr>
        <w:t>) and foreign investment flows (</w:t>
      </w:r>
      <w:r w:rsidRPr="00977958">
        <w:rPr>
          <w:rFonts w:ascii="Garamond" w:hAnsi="Garamond"/>
          <w:i/>
          <w:sz w:val="24"/>
          <w:szCs w:val="24"/>
        </w:rPr>
        <w:t>I</w:t>
      </w:r>
      <w:r w:rsidRPr="00977958">
        <w:rPr>
          <w:rFonts w:ascii="Garamond" w:hAnsi="Garamond"/>
          <w:i/>
          <w:sz w:val="24"/>
          <w:szCs w:val="24"/>
          <w:vertAlign w:val="subscript"/>
        </w:rPr>
        <w:t>it</w:t>
      </w:r>
      <w:r w:rsidRPr="00977958">
        <w:rPr>
          <w:rFonts w:ascii="Garamond" w:hAnsi="Garamond"/>
          <w:sz w:val="24"/>
          <w:szCs w:val="24"/>
        </w:rPr>
        <w:t xml:space="preserve">) in equation (5). A range of factors may affect both capitalization rate and foreign investment e.g. market transparency, growth prospects, liquidity etc. </w:t>
      </w:r>
      <w:r w:rsidR="005F7CDB" w:rsidRPr="00977958">
        <w:rPr>
          <w:rFonts w:ascii="Garamond" w:hAnsi="Garamond"/>
          <w:sz w:val="24"/>
          <w:szCs w:val="24"/>
        </w:rPr>
        <w:t>exacerbating</w:t>
      </w:r>
      <w:r w:rsidRPr="00977958">
        <w:rPr>
          <w:rFonts w:ascii="Garamond" w:hAnsi="Garamond"/>
          <w:sz w:val="24"/>
          <w:szCs w:val="24"/>
        </w:rPr>
        <w:t xml:space="preserve"> the econometric problem of endogenous determination. Such joint dependency issues undermine the reliability of the empirical estimations. In order to counter the potential misspecification introduced, we attempt to purge the independent variables of the effects of interdependent determinants and estimate ‘pure’ effects. In the first stage, we estimate the determinants of cap rates using the Chervachidze and Wheaton (CW) model as in equation (4). The residual variation from this model then provides an estimate of the unexplained variance in capitalization rates that may be caused by other factors e.g. market transparency, size, foreign investment etc. </w:t>
      </w:r>
    </w:p>
    <w:p w:rsidR="00DC42EF" w:rsidRPr="00977958" w:rsidRDefault="00DC42EF" w:rsidP="00DC42EF">
      <w:pPr>
        <w:spacing w:line="360" w:lineRule="auto"/>
        <w:jc w:val="both"/>
        <w:rPr>
          <w:rFonts w:ascii="Garamond" w:hAnsi="Garamond"/>
          <w:sz w:val="24"/>
          <w:szCs w:val="24"/>
        </w:rPr>
      </w:pPr>
    </w:p>
    <w:p w:rsidR="00DC42EF" w:rsidRPr="00977958" w:rsidRDefault="00DC42EF" w:rsidP="00DC42EF">
      <w:pPr>
        <w:spacing w:line="360" w:lineRule="auto"/>
        <w:jc w:val="both"/>
        <w:rPr>
          <w:rFonts w:ascii="Garamond" w:hAnsi="Garamond"/>
          <w:sz w:val="24"/>
          <w:szCs w:val="24"/>
        </w:rPr>
      </w:pPr>
      <w:r w:rsidRPr="00977958">
        <w:rPr>
          <w:rFonts w:ascii="Garamond" w:hAnsi="Garamond"/>
          <w:sz w:val="24"/>
          <w:szCs w:val="24"/>
        </w:rPr>
        <w:t xml:space="preserve">In the second stage, given that these additional variables also suffer from similar problems of joint dependency, we also purge these variables of common dependency by orthogonalization procedures. This orthogonalization process is guided by the correlation matrix in </w:t>
      </w:r>
      <w:r w:rsidR="009B7E4A" w:rsidRPr="00977958">
        <w:rPr>
          <w:rFonts w:ascii="Garamond" w:hAnsi="Garamond"/>
          <w:sz w:val="24"/>
          <w:szCs w:val="24"/>
        </w:rPr>
        <w:t>Appendix 1</w:t>
      </w:r>
      <w:r w:rsidRPr="00977958">
        <w:rPr>
          <w:rFonts w:ascii="Garamond" w:hAnsi="Garamond"/>
          <w:sz w:val="24"/>
          <w:szCs w:val="24"/>
        </w:rPr>
        <w:t>. Correlation between two variables greater than 25% is put through the orthogonali</w:t>
      </w:r>
      <w:r w:rsidR="00977958" w:rsidRPr="00977958">
        <w:rPr>
          <w:rFonts w:ascii="Garamond" w:hAnsi="Garamond"/>
          <w:sz w:val="24"/>
          <w:szCs w:val="24"/>
        </w:rPr>
        <w:t>z</w:t>
      </w:r>
      <w:r w:rsidRPr="00977958">
        <w:rPr>
          <w:rFonts w:ascii="Garamond" w:hAnsi="Garamond"/>
          <w:sz w:val="24"/>
          <w:szCs w:val="24"/>
        </w:rPr>
        <w:t>ation process.</w:t>
      </w:r>
      <w:r w:rsidR="00684886" w:rsidRPr="00977958">
        <w:rPr>
          <w:rStyle w:val="FootnoteReference"/>
          <w:rFonts w:ascii="Garamond" w:hAnsi="Garamond"/>
          <w:sz w:val="24"/>
          <w:szCs w:val="24"/>
        </w:rPr>
        <w:footnoteReference w:id="3"/>
      </w:r>
      <w:r w:rsidRPr="00977958">
        <w:rPr>
          <w:rFonts w:ascii="Garamond" w:hAnsi="Garamond"/>
          <w:sz w:val="24"/>
          <w:szCs w:val="24"/>
        </w:rPr>
        <w:t xml:space="preserve"> See Appendix 1 for details of correlation coefficients.</w:t>
      </w:r>
    </w:p>
    <w:p w:rsidR="00DC42EF" w:rsidRPr="00977958" w:rsidRDefault="00DC42EF" w:rsidP="00DC42EF">
      <w:pPr>
        <w:spacing w:line="360" w:lineRule="auto"/>
        <w:jc w:val="both"/>
        <w:rPr>
          <w:rFonts w:ascii="Garamond" w:hAnsi="Garamond"/>
          <w:sz w:val="24"/>
          <w:szCs w:val="24"/>
        </w:rPr>
      </w:pPr>
    </w:p>
    <w:p w:rsidR="00DC42EF" w:rsidRPr="00977958" w:rsidRDefault="00DC42EF" w:rsidP="00DC42EF">
      <w:pPr>
        <w:spacing w:line="360" w:lineRule="auto"/>
        <w:jc w:val="both"/>
        <w:rPr>
          <w:rFonts w:ascii="Garamond" w:hAnsi="Garamond"/>
          <w:sz w:val="24"/>
          <w:szCs w:val="24"/>
        </w:rPr>
      </w:pPr>
      <w:r w:rsidRPr="00977958">
        <w:rPr>
          <w:rFonts w:ascii="Garamond" w:hAnsi="Garamond"/>
          <w:sz w:val="24"/>
          <w:szCs w:val="24"/>
        </w:rPr>
        <w:t>We orthogonali</w:t>
      </w:r>
      <w:r w:rsidR="00977958" w:rsidRPr="00977958">
        <w:rPr>
          <w:rFonts w:ascii="Garamond" w:hAnsi="Garamond"/>
          <w:sz w:val="24"/>
          <w:szCs w:val="24"/>
        </w:rPr>
        <w:t>z</w:t>
      </w:r>
      <w:r w:rsidRPr="00977958">
        <w:rPr>
          <w:rFonts w:ascii="Garamond" w:hAnsi="Garamond"/>
          <w:sz w:val="24"/>
          <w:szCs w:val="24"/>
        </w:rPr>
        <w:t>e several variables as follows:</w:t>
      </w:r>
    </w:p>
    <w:p w:rsidR="00DC42EF" w:rsidRPr="00977958" w:rsidRDefault="0002604B" w:rsidP="00DC42EF">
      <w:pPr>
        <w:spacing w:line="360" w:lineRule="auto"/>
        <w:jc w:val="both"/>
        <w:rPr>
          <w:rFonts w:ascii="Garamond" w:hAnsi="Garamond"/>
          <w:sz w:val="24"/>
          <w:szCs w:val="24"/>
        </w:rPr>
      </w:pPr>
      <w:r w:rsidRPr="00977958">
        <w:rPr>
          <w:rFonts w:ascii="Garamond" w:hAnsi="Garamond"/>
          <w:position w:val="-12"/>
          <w:sz w:val="24"/>
          <w:szCs w:val="24"/>
        </w:rPr>
        <w:object w:dxaOrig="3159" w:dyaOrig="380">
          <v:shape id="_x0000_i1032" type="#_x0000_t75" style="width:157.6pt;height:19.7pt" o:ole="">
            <v:imagedata r:id="rId23" o:title=""/>
          </v:shape>
          <o:OLEObject Type="Embed" ProgID="Equation.3" ShapeID="_x0000_i1032" DrawAspect="Content" ObjectID="_1493563890" r:id="rId24"/>
        </w:object>
      </w:r>
      <w:r w:rsidRPr="00977958">
        <w:rPr>
          <w:rFonts w:ascii="Garamond" w:hAnsi="Garamond"/>
          <w:sz w:val="24"/>
          <w:szCs w:val="24"/>
        </w:rPr>
        <w:t xml:space="preserve">  </w:t>
      </w:r>
      <w:r w:rsidR="007A121C" w:rsidRPr="00977958">
        <w:rPr>
          <w:rFonts w:ascii="Garamond" w:hAnsi="Garamond"/>
          <w:sz w:val="24"/>
          <w:szCs w:val="24"/>
        </w:rPr>
        <w:tab/>
      </w:r>
      <w:r w:rsidR="007A121C" w:rsidRPr="00977958">
        <w:rPr>
          <w:rFonts w:ascii="Garamond" w:hAnsi="Garamond"/>
          <w:sz w:val="24"/>
          <w:szCs w:val="24"/>
        </w:rPr>
        <w:tab/>
      </w:r>
      <w:r w:rsidR="007A121C" w:rsidRPr="00977958">
        <w:rPr>
          <w:rFonts w:ascii="Garamond" w:hAnsi="Garamond"/>
          <w:sz w:val="24"/>
          <w:szCs w:val="24"/>
        </w:rPr>
        <w:tab/>
      </w:r>
      <w:r w:rsidR="007A121C" w:rsidRPr="00977958">
        <w:rPr>
          <w:rFonts w:ascii="Garamond" w:hAnsi="Garamond"/>
          <w:sz w:val="24"/>
          <w:szCs w:val="24"/>
        </w:rPr>
        <w:tab/>
      </w:r>
      <w:r w:rsidR="007A121C" w:rsidRPr="00977958">
        <w:rPr>
          <w:rFonts w:ascii="Garamond" w:hAnsi="Garamond"/>
          <w:sz w:val="24"/>
          <w:szCs w:val="24"/>
        </w:rPr>
        <w:tab/>
      </w:r>
      <w:r w:rsidR="007A121C" w:rsidRPr="00977958">
        <w:rPr>
          <w:rFonts w:ascii="Garamond" w:hAnsi="Garamond"/>
          <w:sz w:val="24"/>
          <w:szCs w:val="24"/>
        </w:rPr>
        <w:tab/>
      </w:r>
      <w:r w:rsidR="007A121C" w:rsidRPr="00977958">
        <w:rPr>
          <w:rFonts w:ascii="Garamond" w:hAnsi="Garamond"/>
          <w:sz w:val="24"/>
          <w:szCs w:val="24"/>
        </w:rPr>
        <w:tab/>
      </w:r>
      <w:r w:rsidR="007A121C" w:rsidRPr="00977958">
        <w:rPr>
          <w:rFonts w:ascii="Garamond" w:hAnsi="Garamond"/>
          <w:sz w:val="24"/>
          <w:szCs w:val="24"/>
        </w:rPr>
        <w:tab/>
        <w:t xml:space="preserve">  </w:t>
      </w:r>
      <w:r w:rsidRPr="00977958">
        <w:rPr>
          <w:rFonts w:ascii="Garamond" w:hAnsi="Garamond"/>
          <w:sz w:val="24"/>
          <w:szCs w:val="24"/>
        </w:rPr>
        <w:t>(6)</w:t>
      </w:r>
    </w:p>
    <w:p w:rsidR="0002604B" w:rsidRDefault="0002604B" w:rsidP="0002604B">
      <w:pPr>
        <w:spacing w:line="360" w:lineRule="auto"/>
        <w:jc w:val="both"/>
        <w:rPr>
          <w:rFonts w:ascii="Garamond" w:hAnsi="Garamond"/>
          <w:sz w:val="24"/>
          <w:szCs w:val="24"/>
        </w:rPr>
      </w:pPr>
      <w:r w:rsidRPr="00977958">
        <w:rPr>
          <w:rFonts w:ascii="Garamond" w:hAnsi="Garamond"/>
          <w:position w:val="-12"/>
          <w:sz w:val="24"/>
          <w:szCs w:val="24"/>
        </w:rPr>
        <w:object w:dxaOrig="4640" w:dyaOrig="380">
          <v:shape id="_x0000_i1033" type="#_x0000_t75" style="width:233pt;height:19.7pt" o:ole="">
            <v:imagedata r:id="rId25" o:title=""/>
          </v:shape>
          <o:OLEObject Type="Embed" ProgID="Equation.3" ShapeID="_x0000_i1033" DrawAspect="Content" ObjectID="_1493563891" r:id="rId26"/>
        </w:object>
      </w:r>
      <w:r w:rsidRPr="00977958">
        <w:rPr>
          <w:rFonts w:ascii="Garamond" w:hAnsi="Garamond"/>
          <w:sz w:val="24"/>
          <w:szCs w:val="24"/>
        </w:rPr>
        <w:t xml:space="preserve">   </w:t>
      </w:r>
      <w:r w:rsidR="007A121C" w:rsidRPr="00977958">
        <w:rPr>
          <w:rFonts w:ascii="Garamond" w:hAnsi="Garamond"/>
          <w:sz w:val="24"/>
          <w:szCs w:val="24"/>
        </w:rPr>
        <w:tab/>
      </w:r>
      <w:r w:rsidR="007A121C" w:rsidRPr="00977958">
        <w:rPr>
          <w:rFonts w:ascii="Garamond" w:hAnsi="Garamond"/>
          <w:sz w:val="24"/>
          <w:szCs w:val="24"/>
        </w:rPr>
        <w:tab/>
      </w:r>
      <w:r w:rsidR="007A121C" w:rsidRPr="00977958">
        <w:rPr>
          <w:rFonts w:ascii="Garamond" w:hAnsi="Garamond"/>
          <w:sz w:val="24"/>
          <w:szCs w:val="24"/>
        </w:rPr>
        <w:tab/>
      </w:r>
      <w:r w:rsidR="007A121C" w:rsidRPr="00977958">
        <w:rPr>
          <w:rFonts w:ascii="Garamond" w:hAnsi="Garamond"/>
          <w:sz w:val="24"/>
          <w:szCs w:val="24"/>
        </w:rPr>
        <w:tab/>
      </w:r>
      <w:r w:rsidR="007A121C" w:rsidRPr="00977958">
        <w:rPr>
          <w:rFonts w:ascii="Garamond" w:hAnsi="Garamond"/>
          <w:sz w:val="24"/>
          <w:szCs w:val="24"/>
        </w:rPr>
        <w:tab/>
      </w:r>
      <w:r w:rsidR="007A121C" w:rsidRPr="00977958">
        <w:rPr>
          <w:rFonts w:ascii="Garamond" w:hAnsi="Garamond"/>
          <w:sz w:val="24"/>
          <w:szCs w:val="24"/>
        </w:rPr>
        <w:tab/>
        <w:t xml:space="preserve">  </w:t>
      </w:r>
      <w:r w:rsidRPr="00977958">
        <w:rPr>
          <w:rFonts w:ascii="Garamond" w:hAnsi="Garamond"/>
          <w:sz w:val="24"/>
          <w:szCs w:val="24"/>
        </w:rPr>
        <w:t>(7)</w:t>
      </w:r>
    </w:p>
    <w:p w:rsidR="0002604B" w:rsidRPr="00977958" w:rsidRDefault="0002604B" w:rsidP="00DC42EF">
      <w:pPr>
        <w:spacing w:line="360" w:lineRule="auto"/>
        <w:jc w:val="both"/>
        <w:rPr>
          <w:rFonts w:ascii="Garamond" w:hAnsi="Garamond"/>
          <w:sz w:val="24"/>
          <w:szCs w:val="24"/>
        </w:rPr>
      </w:pPr>
      <w:r w:rsidRPr="00977958">
        <w:rPr>
          <w:rFonts w:ascii="Garamond" w:hAnsi="Garamond"/>
          <w:sz w:val="24"/>
          <w:szCs w:val="24"/>
        </w:rPr>
        <w:t>Therefore, equation (5) can now be specified as follows</w:t>
      </w:r>
      <w:r w:rsidR="007A121C" w:rsidRPr="00977958">
        <w:rPr>
          <w:rFonts w:ascii="Garamond" w:hAnsi="Garamond"/>
          <w:sz w:val="24"/>
          <w:szCs w:val="24"/>
        </w:rPr>
        <w:t xml:space="preserve"> incorporating residuals from equations (6) and (7)</w:t>
      </w:r>
      <w:r w:rsidRPr="00977958">
        <w:rPr>
          <w:rFonts w:ascii="Garamond" w:hAnsi="Garamond"/>
          <w:sz w:val="24"/>
          <w:szCs w:val="24"/>
        </w:rPr>
        <w:t>:</w:t>
      </w:r>
    </w:p>
    <w:p w:rsidR="0002604B" w:rsidRPr="00977958" w:rsidRDefault="0002604B" w:rsidP="00DC42EF">
      <w:pPr>
        <w:spacing w:line="360" w:lineRule="auto"/>
        <w:jc w:val="both"/>
        <w:rPr>
          <w:rFonts w:ascii="Garamond" w:hAnsi="Garamond"/>
          <w:sz w:val="24"/>
          <w:szCs w:val="24"/>
        </w:rPr>
      </w:pPr>
    </w:p>
    <w:p w:rsidR="00DC42EF" w:rsidRPr="00977958" w:rsidRDefault="007A121C" w:rsidP="00DC42EF">
      <w:pPr>
        <w:spacing w:line="360" w:lineRule="auto"/>
        <w:jc w:val="both"/>
        <w:rPr>
          <w:rFonts w:ascii="Garamond" w:hAnsi="Garamond"/>
          <w:sz w:val="24"/>
          <w:szCs w:val="24"/>
        </w:rPr>
      </w:pPr>
      <w:r w:rsidRPr="00977958">
        <w:rPr>
          <w:rFonts w:ascii="Garamond" w:hAnsi="Garamond"/>
          <w:position w:val="-12"/>
          <w:sz w:val="24"/>
          <w:szCs w:val="24"/>
        </w:rPr>
        <w:object w:dxaOrig="7880" w:dyaOrig="360">
          <v:shape id="_x0000_i1034" type="#_x0000_t75" style="width:395.3pt;height:19pt" o:ole="">
            <v:imagedata r:id="rId27" o:title=""/>
          </v:shape>
          <o:OLEObject Type="Embed" ProgID="Equation.3" ShapeID="_x0000_i1034" DrawAspect="Content" ObjectID="_1493563892" r:id="rId28"/>
        </w:object>
      </w:r>
      <w:r w:rsidR="00E83CD4" w:rsidRPr="00977958">
        <w:rPr>
          <w:rFonts w:ascii="Garamond" w:hAnsi="Garamond"/>
          <w:sz w:val="24"/>
          <w:szCs w:val="24"/>
        </w:rPr>
        <w:t xml:space="preserve">     </w:t>
      </w:r>
      <w:r w:rsidR="00DC42EF" w:rsidRPr="00977958">
        <w:rPr>
          <w:rFonts w:ascii="Garamond" w:hAnsi="Garamond"/>
          <w:sz w:val="24"/>
          <w:szCs w:val="24"/>
        </w:rPr>
        <w:t xml:space="preserve">  </w:t>
      </w:r>
      <w:r w:rsidRPr="00977958">
        <w:rPr>
          <w:rFonts w:ascii="Garamond" w:hAnsi="Garamond"/>
          <w:sz w:val="24"/>
          <w:szCs w:val="24"/>
        </w:rPr>
        <w:t xml:space="preserve">       </w:t>
      </w:r>
      <w:r w:rsidR="00DC42EF" w:rsidRPr="00977958">
        <w:rPr>
          <w:rFonts w:ascii="Garamond" w:hAnsi="Garamond"/>
          <w:sz w:val="24"/>
          <w:szCs w:val="24"/>
        </w:rPr>
        <w:t>(</w:t>
      </w:r>
      <w:r w:rsidR="0002604B" w:rsidRPr="00977958">
        <w:rPr>
          <w:rFonts w:ascii="Garamond" w:hAnsi="Garamond"/>
          <w:sz w:val="24"/>
          <w:szCs w:val="24"/>
        </w:rPr>
        <w:t>8</w:t>
      </w:r>
      <w:r w:rsidR="00DC42EF" w:rsidRPr="00977958">
        <w:rPr>
          <w:rFonts w:ascii="Garamond" w:hAnsi="Garamond"/>
          <w:sz w:val="24"/>
          <w:szCs w:val="24"/>
        </w:rPr>
        <w:t>)</w:t>
      </w:r>
    </w:p>
    <w:p w:rsidR="0002604B" w:rsidRPr="00977958" w:rsidRDefault="0002604B" w:rsidP="00DC42EF">
      <w:pPr>
        <w:spacing w:line="360" w:lineRule="auto"/>
        <w:jc w:val="both"/>
        <w:rPr>
          <w:rFonts w:ascii="Garamond" w:hAnsi="Garamond"/>
          <w:sz w:val="24"/>
          <w:szCs w:val="24"/>
        </w:rPr>
      </w:pPr>
    </w:p>
    <w:p w:rsidR="00D5365C" w:rsidRPr="00977958" w:rsidRDefault="00DC42EF" w:rsidP="00D5365C">
      <w:pPr>
        <w:spacing w:line="360" w:lineRule="auto"/>
        <w:jc w:val="both"/>
        <w:rPr>
          <w:rFonts w:ascii="Garamond" w:hAnsi="Garamond"/>
          <w:sz w:val="24"/>
          <w:szCs w:val="24"/>
        </w:rPr>
      </w:pPr>
      <w:r w:rsidRPr="00977958">
        <w:rPr>
          <w:rFonts w:ascii="Garamond" w:hAnsi="Garamond"/>
          <w:sz w:val="24"/>
          <w:szCs w:val="24"/>
        </w:rPr>
        <w:lastRenderedPageBreak/>
        <w:t>Finally, we model the unexplained variance in cap rates in equation (</w:t>
      </w:r>
      <w:r w:rsidR="0002604B" w:rsidRPr="00977958">
        <w:rPr>
          <w:rFonts w:ascii="Garamond" w:hAnsi="Garamond"/>
          <w:sz w:val="24"/>
          <w:szCs w:val="24"/>
        </w:rPr>
        <w:t>8</w:t>
      </w:r>
      <w:r w:rsidRPr="00977958">
        <w:rPr>
          <w:rFonts w:ascii="Garamond" w:hAnsi="Garamond"/>
          <w:sz w:val="24"/>
          <w:szCs w:val="24"/>
        </w:rPr>
        <w:t>) as a function of world city indicator such as number of offices of Advanced Producer Services (APS) firms</w:t>
      </w:r>
      <w:r w:rsidR="00684886" w:rsidRPr="00977958">
        <w:rPr>
          <w:rFonts w:ascii="Garamond" w:hAnsi="Garamond"/>
          <w:sz w:val="24"/>
          <w:szCs w:val="24"/>
        </w:rPr>
        <w:t xml:space="preserve"> sourced from the Globalization and World Cities Research Network (GaWC)</w:t>
      </w:r>
      <w:r w:rsidR="003222AA" w:rsidRPr="00977958">
        <w:rPr>
          <w:rFonts w:ascii="Garamond" w:hAnsi="Garamond"/>
          <w:sz w:val="24"/>
          <w:szCs w:val="24"/>
        </w:rPr>
        <w:t xml:space="preserve">.  </w:t>
      </w:r>
      <w:r w:rsidR="00D5365C">
        <w:rPr>
          <w:rFonts w:ascii="Garamond" w:hAnsi="Garamond"/>
          <w:sz w:val="24"/>
          <w:szCs w:val="24"/>
        </w:rPr>
        <w:t>We also orthogonalize the number of APS firms and percent foreign investment variables against each other.</w:t>
      </w:r>
    </w:p>
    <w:p w:rsidR="0002604B" w:rsidRPr="00977958" w:rsidRDefault="0002604B" w:rsidP="00DC42EF">
      <w:pPr>
        <w:spacing w:line="360" w:lineRule="auto"/>
        <w:jc w:val="both"/>
        <w:rPr>
          <w:rFonts w:ascii="Garamond" w:hAnsi="Garamond"/>
          <w:sz w:val="24"/>
          <w:szCs w:val="24"/>
        </w:rPr>
      </w:pPr>
    </w:p>
    <w:p w:rsidR="00DC42EF" w:rsidRPr="00977958" w:rsidRDefault="007A121C" w:rsidP="00DC42EF">
      <w:pPr>
        <w:spacing w:line="360" w:lineRule="auto"/>
        <w:jc w:val="both"/>
        <w:rPr>
          <w:rFonts w:ascii="Garamond" w:hAnsi="Garamond"/>
          <w:sz w:val="24"/>
          <w:szCs w:val="24"/>
        </w:rPr>
      </w:pPr>
      <w:r w:rsidRPr="00977958">
        <w:rPr>
          <w:rFonts w:ascii="Garamond" w:hAnsi="Garamond"/>
          <w:position w:val="-12"/>
          <w:sz w:val="24"/>
          <w:szCs w:val="24"/>
        </w:rPr>
        <w:object w:dxaOrig="6080" w:dyaOrig="360">
          <v:shape id="_x0000_i1035" type="#_x0000_t75" style="width:278.5pt;height:19pt" o:ole="">
            <v:imagedata r:id="rId29" o:title=""/>
          </v:shape>
          <o:OLEObject Type="Embed" ProgID="Equation.3" ShapeID="_x0000_i1035" DrawAspect="Content" ObjectID="_1493563893" r:id="rId30"/>
        </w:object>
      </w:r>
      <w:r w:rsidR="00DC42EF" w:rsidRPr="00977958">
        <w:rPr>
          <w:rFonts w:ascii="Garamond" w:hAnsi="Garamond"/>
          <w:sz w:val="24"/>
          <w:szCs w:val="24"/>
        </w:rPr>
        <w:t xml:space="preserve">     </w:t>
      </w:r>
      <w:r w:rsidR="00E83CD4" w:rsidRPr="00977958">
        <w:rPr>
          <w:rFonts w:ascii="Garamond" w:hAnsi="Garamond"/>
          <w:sz w:val="24"/>
          <w:szCs w:val="24"/>
        </w:rPr>
        <w:t xml:space="preserve"> </w:t>
      </w: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r>
      <w:r w:rsidRPr="00977958">
        <w:rPr>
          <w:rFonts w:ascii="Garamond" w:hAnsi="Garamond"/>
          <w:sz w:val="24"/>
          <w:szCs w:val="24"/>
        </w:rPr>
        <w:tab/>
        <w:t xml:space="preserve">  </w:t>
      </w:r>
      <w:r w:rsidR="00DC42EF" w:rsidRPr="00977958">
        <w:rPr>
          <w:rFonts w:ascii="Garamond" w:hAnsi="Garamond"/>
          <w:sz w:val="24"/>
          <w:szCs w:val="24"/>
        </w:rPr>
        <w:t>(</w:t>
      </w:r>
      <w:r w:rsidR="0002604B" w:rsidRPr="00977958">
        <w:rPr>
          <w:rFonts w:ascii="Garamond" w:hAnsi="Garamond"/>
          <w:sz w:val="24"/>
          <w:szCs w:val="24"/>
        </w:rPr>
        <w:t>9</w:t>
      </w:r>
      <w:r w:rsidR="00DC42EF" w:rsidRPr="00977958">
        <w:rPr>
          <w:rFonts w:ascii="Garamond" w:hAnsi="Garamond"/>
          <w:sz w:val="24"/>
          <w:szCs w:val="24"/>
        </w:rPr>
        <w:t>)</w:t>
      </w:r>
    </w:p>
    <w:p w:rsidR="00D5365C" w:rsidRDefault="00D5365C" w:rsidP="00DC42EF">
      <w:pPr>
        <w:spacing w:line="360" w:lineRule="auto"/>
        <w:jc w:val="both"/>
        <w:rPr>
          <w:rFonts w:ascii="Garamond" w:hAnsi="Garamond"/>
          <w:sz w:val="24"/>
          <w:szCs w:val="24"/>
        </w:rPr>
      </w:pPr>
    </w:p>
    <w:p w:rsidR="00DC42EF" w:rsidRPr="00977958" w:rsidRDefault="00DC42EF" w:rsidP="00DC42EF">
      <w:pPr>
        <w:spacing w:line="360" w:lineRule="auto"/>
        <w:jc w:val="both"/>
        <w:rPr>
          <w:rFonts w:ascii="Garamond" w:hAnsi="Garamond"/>
          <w:sz w:val="24"/>
          <w:szCs w:val="24"/>
        </w:rPr>
      </w:pPr>
      <w:r w:rsidRPr="00977958">
        <w:rPr>
          <w:rFonts w:ascii="Garamond" w:hAnsi="Garamond"/>
          <w:sz w:val="24"/>
          <w:szCs w:val="24"/>
        </w:rPr>
        <w:t>The two-stage procedure addresses multicollinearity issue and it should reveal the independent effect of the foreign presence in each city.</w:t>
      </w:r>
    </w:p>
    <w:p w:rsidR="00684886" w:rsidRPr="00977958" w:rsidRDefault="00684886" w:rsidP="00DC42EF">
      <w:pPr>
        <w:spacing w:line="360" w:lineRule="auto"/>
        <w:jc w:val="both"/>
        <w:rPr>
          <w:rFonts w:ascii="Garamond" w:hAnsi="Garamond"/>
          <w:sz w:val="24"/>
          <w:szCs w:val="24"/>
        </w:rPr>
      </w:pPr>
    </w:p>
    <w:p w:rsidR="00684886" w:rsidRPr="00977958" w:rsidRDefault="00684886" w:rsidP="00DC42EF">
      <w:pPr>
        <w:spacing w:line="360" w:lineRule="auto"/>
        <w:jc w:val="both"/>
        <w:rPr>
          <w:rFonts w:ascii="Garamond" w:hAnsi="Garamond"/>
          <w:sz w:val="24"/>
          <w:szCs w:val="24"/>
        </w:rPr>
      </w:pPr>
    </w:p>
    <w:p w:rsidR="00BE4B79" w:rsidRPr="00977958" w:rsidRDefault="00BE4B79" w:rsidP="00BE4B79">
      <w:pPr>
        <w:pStyle w:val="NoSpacing"/>
        <w:spacing w:line="360" w:lineRule="auto"/>
        <w:jc w:val="both"/>
        <w:rPr>
          <w:rFonts w:ascii="Garamond" w:hAnsi="Garamond"/>
          <w:b/>
          <w:sz w:val="24"/>
          <w:szCs w:val="24"/>
        </w:rPr>
      </w:pPr>
      <w:r w:rsidRPr="00977958">
        <w:rPr>
          <w:rFonts w:ascii="Garamond" w:hAnsi="Garamond"/>
          <w:b/>
          <w:sz w:val="24"/>
          <w:szCs w:val="24"/>
        </w:rPr>
        <w:t>RESULTS AND ANALYSIS</w:t>
      </w:r>
    </w:p>
    <w:p w:rsidR="00B6061C" w:rsidRPr="00977958" w:rsidRDefault="003222AA" w:rsidP="003222AA">
      <w:pPr>
        <w:pStyle w:val="NoSpacing"/>
        <w:spacing w:line="360" w:lineRule="auto"/>
        <w:jc w:val="both"/>
        <w:rPr>
          <w:rFonts w:ascii="Garamond" w:hAnsi="Garamond"/>
          <w:sz w:val="24"/>
          <w:szCs w:val="24"/>
        </w:rPr>
      </w:pPr>
      <w:r w:rsidRPr="00977958">
        <w:rPr>
          <w:rFonts w:ascii="Garamond" w:hAnsi="Garamond"/>
          <w:sz w:val="24"/>
          <w:szCs w:val="24"/>
        </w:rPr>
        <w:t xml:space="preserve">The results of the first stage regressions are presented in Exhibit 2.  Column (1) is the basic CW model as in equation (1). Model 2 estimates the FGLS model and subsequent models add further controls in </w:t>
      </w:r>
      <w:r w:rsidR="00F75DA8" w:rsidRPr="00977958">
        <w:rPr>
          <w:rFonts w:ascii="Garamond" w:hAnsi="Garamond"/>
          <w:sz w:val="24"/>
          <w:szCs w:val="24"/>
        </w:rPr>
        <w:t>M</w:t>
      </w:r>
      <w:r w:rsidRPr="00977958">
        <w:rPr>
          <w:rFonts w:ascii="Garamond" w:hAnsi="Garamond"/>
          <w:sz w:val="24"/>
          <w:szCs w:val="24"/>
        </w:rPr>
        <w:t xml:space="preserve">odels 3 and 4 as represented by equation (4). </w:t>
      </w:r>
      <w:r w:rsidR="001130E0" w:rsidRPr="00977958">
        <w:rPr>
          <w:rFonts w:ascii="Garamond" w:hAnsi="Garamond"/>
          <w:sz w:val="24"/>
          <w:szCs w:val="24"/>
        </w:rPr>
        <w:t xml:space="preserve">In the base </w:t>
      </w:r>
      <w:r w:rsidR="00F75DA8" w:rsidRPr="00977958">
        <w:rPr>
          <w:rFonts w:ascii="Garamond" w:hAnsi="Garamond"/>
          <w:sz w:val="24"/>
          <w:szCs w:val="24"/>
        </w:rPr>
        <w:t>M</w:t>
      </w:r>
      <w:r w:rsidR="001130E0" w:rsidRPr="00977958">
        <w:rPr>
          <w:rFonts w:ascii="Garamond" w:hAnsi="Garamond"/>
          <w:sz w:val="24"/>
          <w:szCs w:val="24"/>
        </w:rPr>
        <w:t>odel 1 we find that a simple OLS model estimates the expected positive relationships between risk free rate and lagged cap rate and contemporaneous cap rate.  However, no statistically significant effect is found for real rent ratio on cap rates. This finding is not consistent with the results of the CW models in the US who identif</w:t>
      </w:r>
      <w:r w:rsidR="00F234DE" w:rsidRPr="00977958">
        <w:rPr>
          <w:rFonts w:ascii="Garamond" w:hAnsi="Garamond"/>
          <w:sz w:val="24"/>
          <w:szCs w:val="24"/>
        </w:rPr>
        <w:t>ied</w:t>
      </w:r>
      <w:r w:rsidR="001130E0" w:rsidRPr="00977958">
        <w:rPr>
          <w:rFonts w:ascii="Garamond" w:hAnsi="Garamond"/>
          <w:sz w:val="24"/>
          <w:szCs w:val="24"/>
        </w:rPr>
        <w:t xml:space="preserve"> a statistically significant negative effect. </w:t>
      </w:r>
      <w:r w:rsidRPr="00977958">
        <w:rPr>
          <w:rFonts w:ascii="Garamond" w:hAnsi="Garamond"/>
          <w:sz w:val="24"/>
          <w:szCs w:val="24"/>
        </w:rPr>
        <w:t>The coefficient on lagged cap rate is approximately 0.4. This is largely similar to the results of the CW model finding for the US metro areas and is consistent with similar substantial momentum</w:t>
      </w:r>
      <w:r w:rsidR="00684886" w:rsidRPr="00977958">
        <w:rPr>
          <w:rFonts w:ascii="Garamond" w:hAnsi="Garamond"/>
          <w:sz w:val="24"/>
          <w:szCs w:val="24"/>
        </w:rPr>
        <w:t xml:space="preserve"> (i.e. serial correlation)</w:t>
      </w:r>
      <w:r w:rsidRPr="00977958">
        <w:rPr>
          <w:rFonts w:ascii="Garamond" w:hAnsi="Garamond"/>
          <w:sz w:val="24"/>
          <w:szCs w:val="24"/>
        </w:rPr>
        <w:t xml:space="preserve"> in the formation of capitalization rates. The real risk-free rate coefficient has the expected positive sign and is statistically significant.</w:t>
      </w:r>
      <w:r w:rsidR="001130E0" w:rsidRPr="00977958">
        <w:rPr>
          <w:rFonts w:ascii="Garamond" w:hAnsi="Garamond"/>
          <w:sz w:val="24"/>
          <w:szCs w:val="24"/>
        </w:rPr>
        <w:t xml:space="preserve"> Model 2 model uses FGLS (feasible generali</w:t>
      </w:r>
      <w:r w:rsidR="00977958" w:rsidRPr="00977958">
        <w:rPr>
          <w:rFonts w:ascii="Garamond" w:hAnsi="Garamond"/>
          <w:sz w:val="24"/>
          <w:szCs w:val="24"/>
        </w:rPr>
        <w:t>z</w:t>
      </w:r>
      <w:r w:rsidR="001130E0" w:rsidRPr="00977958">
        <w:rPr>
          <w:rFonts w:ascii="Garamond" w:hAnsi="Garamond"/>
          <w:sz w:val="24"/>
          <w:szCs w:val="24"/>
        </w:rPr>
        <w:t>ed least squares) regression. FGLS is less prone to bias from heteroscedasticity.  It provides some reassurance that the results are broadly similar to Model 1.</w:t>
      </w:r>
      <w:r w:rsidR="00B6061C" w:rsidRPr="00977958">
        <w:rPr>
          <w:rFonts w:ascii="Garamond" w:hAnsi="Garamond"/>
          <w:sz w:val="24"/>
          <w:szCs w:val="24"/>
        </w:rPr>
        <w:t xml:space="preserve"> </w:t>
      </w:r>
    </w:p>
    <w:p w:rsidR="00B6061C" w:rsidRPr="00977958" w:rsidRDefault="00B6061C" w:rsidP="003222AA">
      <w:pPr>
        <w:pStyle w:val="NoSpacing"/>
        <w:spacing w:line="360" w:lineRule="auto"/>
        <w:jc w:val="both"/>
        <w:rPr>
          <w:rFonts w:ascii="Garamond" w:hAnsi="Garamond"/>
          <w:sz w:val="24"/>
          <w:szCs w:val="24"/>
        </w:rPr>
      </w:pPr>
    </w:p>
    <w:p w:rsidR="006B2E61" w:rsidRPr="00977958" w:rsidRDefault="003222AA" w:rsidP="006B2E61">
      <w:pPr>
        <w:pStyle w:val="NoSpacing"/>
        <w:spacing w:line="360" w:lineRule="auto"/>
        <w:jc w:val="both"/>
        <w:rPr>
          <w:rFonts w:ascii="Garamond" w:hAnsi="Garamond"/>
          <w:sz w:val="24"/>
          <w:szCs w:val="24"/>
        </w:rPr>
      </w:pPr>
      <w:r w:rsidRPr="00977958">
        <w:rPr>
          <w:rFonts w:ascii="Garamond" w:hAnsi="Garamond"/>
          <w:sz w:val="24"/>
          <w:szCs w:val="24"/>
        </w:rPr>
        <w:t xml:space="preserve">When the basic model is extended to include additional variables, the coefficients remain stable. </w:t>
      </w:r>
      <w:r w:rsidR="00B6061C" w:rsidRPr="00977958">
        <w:rPr>
          <w:rFonts w:ascii="Garamond" w:hAnsi="Garamond"/>
          <w:sz w:val="24"/>
          <w:szCs w:val="24"/>
        </w:rPr>
        <w:t>Model 3 incorporates a capital market risk variable – corporate bond spread. As expected, this has a statistically significant positive effect on cap rates. It is notable that the Real Rent Ratio is now statistically significant and has a positive sign.  It suggest</w:t>
      </w:r>
      <w:r w:rsidR="00F234DE" w:rsidRPr="00977958">
        <w:rPr>
          <w:rFonts w:ascii="Garamond" w:hAnsi="Garamond"/>
          <w:sz w:val="24"/>
          <w:szCs w:val="24"/>
        </w:rPr>
        <w:t>s</w:t>
      </w:r>
      <w:r w:rsidR="00B6061C" w:rsidRPr="00977958">
        <w:rPr>
          <w:rFonts w:ascii="Garamond" w:hAnsi="Garamond"/>
          <w:sz w:val="24"/>
          <w:szCs w:val="24"/>
        </w:rPr>
        <w:t xml:space="preserve"> that all else equal where real rents are above their long term average, cap rates tend to be higher. This is consistent with rational expectations by inv</w:t>
      </w:r>
      <w:r w:rsidR="006B2E61" w:rsidRPr="00977958">
        <w:rPr>
          <w:rFonts w:ascii="Garamond" w:hAnsi="Garamond"/>
          <w:sz w:val="24"/>
          <w:szCs w:val="24"/>
        </w:rPr>
        <w:t>e</w:t>
      </w:r>
      <w:r w:rsidR="00B6061C" w:rsidRPr="00977958">
        <w:rPr>
          <w:rFonts w:ascii="Garamond" w:hAnsi="Garamond"/>
          <w:sz w:val="24"/>
          <w:szCs w:val="24"/>
        </w:rPr>
        <w:t xml:space="preserve">stors. This is in contrast to the CW finding of a significant </w:t>
      </w:r>
      <w:r w:rsidR="006B2E61" w:rsidRPr="00977958">
        <w:rPr>
          <w:rFonts w:ascii="Garamond" w:hAnsi="Garamond"/>
          <w:sz w:val="24"/>
          <w:szCs w:val="24"/>
        </w:rPr>
        <w:t xml:space="preserve">negative coefficient. In all further models, a significant positive effect is identified for real rent ratio.  Model 4 incorporates debt </w:t>
      </w:r>
      <w:r w:rsidR="00682108" w:rsidRPr="00977958">
        <w:rPr>
          <w:rFonts w:ascii="Garamond" w:hAnsi="Garamond"/>
          <w:sz w:val="24"/>
          <w:szCs w:val="24"/>
        </w:rPr>
        <w:t>flow</w:t>
      </w:r>
      <w:r w:rsidR="006B2E61" w:rsidRPr="00977958">
        <w:rPr>
          <w:rFonts w:ascii="Garamond" w:hAnsi="Garamond"/>
          <w:sz w:val="24"/>
          <w:szCs w:val="24"/>
        </w:rPr>
        <w:t xml:space="preserve"> (Debt % of GDP)</w:t>
      </w:r>
      <w:r w:rsidR="00682108" w:rsidRPr="00977958">
        <w:rPr>
          <w:rFonts w:ascii="Garamond" w:hAnsi="Garamond"/>
          <w:sz w:val="24"/>
          <w:szCs w:val="24"/>
        </w:rPr>
        <w:t xml:space="preserve">. </w:t>
      </w:r>
      <w:r w:rsidR="006B2E61" w:rsidRPr="00977958">
        <w:rPr>
          <w:rFonts w:ascii="Garamond" w:hAnsi="Garamond"/>
          <w:sz w:val="24"/>
          <w:szCs w:val="24"/>
        </w:rPr>
        <w:t xml:space="preserve">As expected, </w:t>
      </w:r>
      <w:r w:rsidR="00F234DE" w:rsidRPr="00977958">
        <w:rPr>
          <w:rFonts w:ascii="Garamond" w:hAnsi="Garamond"/>
          <w:sz w:val="24"/>
          <w:szCs w:val="24"/>
        </w:rPr>
        <w:t>it has</w:t>
      </w:r>
      <w:r w:rsidR="006B2E61" w:rsidRPr="00977958">
        <w:rPr>
          <w:rFonts w:ascii="Garamond" w:hAnsi="Garamond"/>
          <w:sz w:val="24"/>
          <w:szCs w:val="24"/>
        </w:rPr>
        <w:t xml:space="preserve"> statistically significant </w:t>
      </w:r>
      <w:r w:rsidR="006B2E61" w:rsidRPr="00977958">
        <w:rPr>
          <w:rFonts w:ascii="Garamond" w:hAnsi="Garamond"/>
          <w:sz w:val="24"/>
          <w:szCs w:val="24"/>
        </w:rPr>
        <w:lastRenderedPageBreak/>
        <w:t>negative effect on cap rates.  Model 5 introduces the level of foreign investment and World City ranking variables</w:t>
      </w:r>
      <w:r w:rsidR="008C5226" w:rsidRPr="00977958">
        <w:rPr>
          <w:rFonts w:ascii="Garamond" w:hAnsi="Garamond"/>
          <w:sz w:val="24"/>
          <w:szCs w:val="24"/>
        </w:rPr>
        <w:t xml:space="preserve"> (as explained in equation (5))</w:t>
      </w:r>
      <w:r w:rsidR="006B2E61" w:rsidRPr="00977958">
        <w:rPr>
          <w:rFonts w:ascii="Garamond" w:hAnsi="Garamond"/>
          <w:sz w:val="24"/>
          <w:szCs w:val="24"/>
        </w:rPr>
        <w:t xml:space="preserve">.  </w:t>
      </w:r>
      <w:r w:rsidR="00F234DE" w:rsidRPr="00977958">
        <w:rPr>
          <w:rFonts w:ascii="Garamond" w:hAnsi="Garamond"/>
          <w:sz w:val="24"/>
          <w:szCs w:val="24"/>
        </w:rPr>
        <w:t>As expected, both have</w:t>
      </w:r>
      <w:r w:rsidR="006B2E61" w:rsidRPr="00977958">
        <w:rPr>
          <w:rFonts w:ascii="Garamond" w:hAnsi="Garamond"/>
          <w:sz w:val="24"/>
          <w:szCs w:val="24"/>
        </w:rPr>
        <w:t xml:space="preserve"> small but statistically significant negative effect on </w:t>
      </w:r>
      <w:r w:rsidR="00F234DE" w:rsidRPr="00977958">
        <w:rPr>
          <w:rFonts w:ascii="Garamond" w:hAnsi="Garamond"/>
          <w:sz w:val="24"/>
          <w:szCs w:val="24"/>
        </w:rPr>
        <w:t xml:space="preserve">office </w:t>
      </w:r>
      <w:r w:rsidR="006B2E61" w:rsidRPr="00977958">
        <w:rPr>
          <w:rFonts w:ascii="Garamond" w:hAnsi="Garamond"/>
          <w:sz w:val="24"/>
          <w:szCs w:val="24"/>
        </w:rPr>
        <w:t xml:space="preserve">cap rates.  However, </w:t>
      </w:r>
      <w:r w:rsidR="00F234DE" w:rsidRPr="00977958">
        <w:rPr>
          <w:rFonts w:ascii="Garamond" w:hAnsi="Garamond"/>
          <w:sz w:val="24"/>
          <w:szCs w:val="24"/>
        </w:rPr>
        <w:t xml:space="preserve">as explained above, </w:t>
      </w:r>
      <w:r w:rsidR="00684886" w:rsidRPr="00977958">
        <w:rPr>
          <w:rFonts w:ascii="Garamond" w:hAnsi="Garamond"/>
          <w:sz w:val="24"/>
          <w:szCs w:val="24"/>
        </w:rPr>
        <w:t>the</w:t>
      </w:r>
      <w:r w:rsidR="006B2E61" w:rsidRPr="00977958">
        <w:rPr>
          <w:rFonts w:ascii="Garamond" w:hAnsi="Garamond"/>
          <w:sz w:val="24"/>
          <w:szCs w:val="24"/>
        </w:rPr>
        <w:t>s</w:t>
      </w:r>
      <w:r w:rsidR="00684886" w:rsidRPr="00977958">
        <w:rPr>
          <w:rFonts w:ascii="Garamond" w:hAnsi="Garamond"/>
          <w:sz w:val="24"/>
          <w:szCs w:val="24"/>
        </w:rPr>
        <w:t>e</w:t>
      </w:r>
      <w:r w:rsidR="006B2E61" w:rsidRPr="00977958">
        <w:rPr>
          <w:rFonts w:ascii="Garamond" w:hAnsi="Garamond"/>
          <w:sz w:val="24"/>
          <w:szCs w:val="24"/>
        </w:rPr>
        <w:t xml:space="preserve"> </w:t>
      </w:r>
      <w:r w:rsidR="00F234DE" w:rsidRPr="00977958">
        <w:rPr>
          <w:rFonts w:ascii="Garamond" w:hAnsi="Garamond"/>
          <w:sz w:val="24"/>
          <w:szCs w:val="24"/>
        </w:rPr>
        <w:t>model</w:t>
      </w:r>
      <w:r w:rsidR="00684886" w:rsidRPr="00977958">
        <w:rPr>
          <w:rFonts w:ascii="Garamond" w:hAnsi="Garamond"/>
          <w:sz w:val="24"/>
          <w:szCs w:val="24"/>
        </w:rPr>
        <w:t>s</w:t>
      </w:r>
      <w:r w:rsidR="00F234DE" w:rsidRPr="00977958">
        <w:rPr>
          <w:rFonts w:ascii="Garamond" w:hAnsi="Garamond"/>
          <w:sz w:val="24"/>
          <w:szCs w:val="24"/>
        </w:rPr>
        <w:t xml:space="preserve"> </w:t>
      </w:r>
      <w:r w:rsidR="006B2E61" w:rsidRPr="00977958">
        <w:rPr>
          <w:rFonts w:ascii="Garamond" w:hAnsi="Garamond"/>
          <w:sz w:val="24"/>
          <w:szCs w:val="24"/>
        </w:rPr>
        <w:t xml:space="preserve">suffer from potential omitted variable bias. </w:t>
      </w:r>
    </w:p>
    <w:p w:rsidR="006B2E61" w:rsidRPr="00977958" w:rsidRDefault="006B2E61" w:rsidP="006B2E61">
      <w:pPr>
        <w:pStyle w:val="NoSpacing"/>
        <w:spacing w:line="360" w:lineRule="auto"/>
        <w:jc w:val="both"/>
        <w:rPr>
          <w:rFonts w:ascii="Garamond" w:hAnsi="Garamond"/>
          <w:sz w:val="24"/>
          <w:szCs w:val="24"/>
        </w:rPr>
      </w:pPr>
    </w:p>
    <w:p w:rsidR="008C5226" w:rsidRPr="00977958" w:rsidRDefault="00684886" w:rsidP="008C5226">
      <w:pPr>
        <w:pStyle w:val="NoSpacing"/>
        <w:spacing w:line="360" w:lineRule="auto"/>
        <w:jc w:val="both"/>
        <w:rPr>
          <w:rFonts w:ascii="Garamond" w:hAnsi="Garamond"/>
          <w:sz w:val="24"/>
          <w:szCs w:val="24"/>
        </w:rPr>
      </w:pPr>
      <w:r w:rsidRPr="00977958">
        <w:rPr>
          <w:rFonts w:ascii="Garamond" w:hAnsi="Garamond"/>
          <w:sz w:val="24"/>
          <w:szCs w:val="24"/>
        </w:rPr>
        <w:t xml:space="preserve">In </w:t>
      </w:r>
      <w:r w:rsidR="006B2E61" w:rsidRPr="00977958">
        <w:rPr>
          <w:rFonts w:ascii="Garamond" w:hAnsi="Garamond"/>
          <w:sz w:val="24"/>
          <w:szCs w:val="24"/>
        </w:rPr>
        <w:t>Model 6</w:t>
      </w:r>
      <w:r w:rsidRPr="00977958">
        <w:rPr>
          <w:rFonts w:ascii="Garamond" w:hAnsi="Garamond"/>
          <w:sz w:val="24"/>
          <w:szCs w:val="24"/>
        </w:rPr>
        <w:t xml:space="preserve">, we test whether the results from Model 5 are biased by potential endogeneity </w:t>
      </w:r>
      <w:r w:rsidR="00891038" w:rsidRPr="00977958">
        <w:rPr>
          <w:rFonts w:ascii="Garamond" w:hAnsi="Garamond"/>
          <w:sz w:val="24"/>
          <w:szCs w:val="24"/>
        </w:rPr>
        <w:t xml:space="preserve">issues as explained above </w:t>
      </w:r>
      <w:r w:rsidR="008C5226" w:rsidRPr="00977958">
        <w:rPr>
          <w:rFonts w:ascii="Garamond" w:hAnsi="Garamond"/>
          <w:sz w:val="24"/>
          <w:szCs w:val="24"/>
        </w:rPr>
        <w:t>(based on equation (9))</w:t>
      </w:r>
      <w:r w:rsidR="006B2E61" w:rsidRPr="00977958">
        <w:rPr>
          <w:rFonts w:ascii="Garamond" w:hAnsi="Garamond"/>
          <w:sz w:val="24"/>
          <w:szCs w:val="24"/>
        </w:rPr>
        <w:t>. The dependent variable here is the residual error from Model 4.  The residual error is the component of the cap rate that the model is unable to explain and is therefore determined by other variables. In order to control for the fact that foreign investment and cap rate may be both linked to a city’s economic importance, we also incorporate a city’s score from a World City ranking as proxied by the number of offices of Advanced Producer Services (APS) firms. The results are consistent with our theoretical expectations. There is a significant negative effect of World City ranking on cap rate. In addition, there is a small additional</w:t>
      </w:r>
      <w:r w:rsidR="00F75DA8" w:rsidRPr="00977958">
        <w:rPr>
          <w:rFonts w:ascii="Garamond" w:hAnsi="Garamond"/>
          <w:sz w:val="24"/>
          <w:szCs w:val="24"/>
        </w:rPr>
        <w:t xml:space="preserve"> significant</w:t>
      </w:r>
      <w:r w:rsidR="006B2E61" w:rsidRPr="00977958">
        <w:rPr>
          <w:rFonts w:ascii="Garamond" w:hAnsi="Garamond"/>
          <w:sz w:val="24"/>
          <w:szCs w:val="24"/>
        </w:rPr>
        <w:t xml:space="preserve"> effect of the level of foreign investment on cap rate.</w:t>
      </w:r>
      <w:r w:rsidR="00682108" w:rsidRPr="00977958">
        <w:rPr>
          <w:rFonts w:ascii="Garamond" w:hAnsi="Garamond"/>
          <w:sz w:val="24"/>
          <w:szCs w:val="24"/>
        </w:rPr>
        <w:t xml:space="preserve"> </w:t>
      </w:r>
      <w:r w:rsidR="008C5226" w:rsidRPr="00977958">
        <w:rPr>
          <w:rFonts w:ascii="Garamond" w:hAnsi="Garamond"/>
          <w:sz w:val="24"/>
          <w:szCs w:val="24"/>
        </w:rPr>
        <w:t xml:space="preserve">As expected, this effect is negative i.e. an increase in foreign investment leads to a fall in cap rate. </w:t>
      </w:r>
      <w:r w:rsidR="00891038" w:rsidRPr="00977958">
        <w:rPr>
          <w:rFonts w:ascii="Garamond" w:hAnsi="Garamond"/>
          <w:sz w:val="24"/>
          <w:szCs w:val="24"/>
        </w:rPr>
        <w:t xml:space="preserve">Essentially, Model 6 confirms that the specification in Model 5 and the significant coefficient estimate for foreign investment in Model 5 do not suffer from endogeneity bias. </w:t>
      </w:r>
      <w:r w:rsidR="008C5226" w:rsidRPr="00977958">
        <w:rPr>
          <w:rFonts w:ascii="Garamond" w:hAnsi="Garamond"/>
          <w:sz w:val="24"/>
          <w:szCs w:val="24"/>
        </w:rPr>
        <w:t>When we address the econometric biases such as unobserved heterogeneity, simultaneous determination and dynamic panel bias</w:t>
      </w:r>
      <w:r w:rsidR="00F75DA8" w:rsidRPr="00977958">
        <w:rPr>
          <w:rFonts w:ascii="Garamond" w:hAnsi="Garamond"/>
          <w:sz w:val="24"/>
          <w:szCs w:val="24"/>
        </w:rPr>
        <w:t xml:space="preserve"> in Model 6</w:t>
      </w:r>
      <w:r w:rsidR="008C5226" w:rsidRPr="00977958">
        <w:rPr>
          <w:rFonts w:ascii="Garamond" w:hAnsi="Garamond"/>
          <w:sz w:val="24"/>
          <w:szCs w:val="24"/>
        </w:rPr>
        <w:t xml:space="preserve">, the results remain statistically significant. </w:t>
      </w:r>
      <w:r w:rsidR="00F75DA8" w:rsidRPr="00977958">
        <w:rPr>
          <w:rFonts w:ascii="Garamond" w:hAnsi="Garamond"/>
          <w:sz w:val="24"/>
          <w:szCs w:val="24"/>
        </w:rPr>
        <w:t xml:space="preserve">Therefore, it is reasonable to interpret the results of Model 5 as relatively unbiased i.e. </w:t>
      </w:r>
      <w:r w:rsidR="00F75DA8" w:rsidRPr="00977958">
        <w:rPr>
          <w:rFonts w:ascii="Garamond" w:hAnsi="Garamond"/>
          <w:sz w:val="24"/>
        </w:rPr>
        <w:t>a 100 basis points increase in foreign share of total investment in a US metropolitan office market causes about a</w:t>
      </w:r>
      <w:r w:rsidR="00D5365C">
        <w:rPr>
          <w:rFonts w:ascii="Garamond" w:hAnsi="Garamond"/>
          <w:sz w:val="24"/>
        </w:rPr>
        <w:t>n</w:t>
      </w:r>
      <w:r w:rsidR="00F75DA8" w:rsidRPr="00977958">
        <w:rPr>
          <w:rFonts w:ascii="Garamond" w:hAnsi="Garamond"/>
          <w:sz w:val="24"/>
        </w:rPr>
        <w:t xml:space="preserve"> </w:t>
      </w:r>
      <w:r w:rsidR="00D5365C">
        <w:rPr>
          <w:rFonts w:ascii="Garamond" w:hAnsi="Garamond"/>
          <w:sz w:val="24"/>
        </w:rPr>
        <w:t>8</w:t>
      </w:r>
      <w:r w:rsidR="00F75DA8" w:rsidRPr="00977958">
        <w:rPr>
          <w:rFonts w:ascii="Garamond" w:hAnsi="Garamond"/>
          <w:sz w:val="24"/>
        </w:rPr>
        <w:t xml:space="preserve"> basis points decrease in the market cap rate as reflected by Model 5.</w:t>
      </w:r>
      <w:r w:rsidR="00F11862">
        <w:rPr>
          <w:rFonts w:ascii="Garamond" w:hAnsi="Garamond"/>
          <w:sz w:val="24"/>
        </w:rPr>
        <w:t xml:space="preserve"> If we run this model without New York, then the effect size is about 7 basis points.</w:t>
      </w:r>
      <w:bookmarkStart w:id="0" w:name="_GoBack"/>
      <w:bookmarkEnd w:id="0"/>
    </w:p>
    <w:p w:rsidR="00BE4B79" w:rsidRPr="00977958" w:rsidRDefault="00BE4B79" w:rsidP="007341DA">
      <w:pPr>
        <w:pStyle w:val="NoSpacing"/>
        <w:spacing w:line="360" w:lineRule="auto"/>
        <w:jc w:val="both"/>
        <w:rPr>
          <w:rFonts w:ascii="Garamond" w:hAnsi="Garamond"/>
          <w:sz w:val="24"/>
          <w:szCs w:val="24"/>
        </w:rPr>
      </w:pPr>
      <w:r w:rsidRPr="00977958">
        <w:rPr>
          <w:rFonts w:ascii="Garamond" w:hAnsi="Garamond"/>
          <w:sz w:val="24"/>
          <w:szCs w:val="24"/>
        </w:rPr>
        <w:br w:type="page"/>
      </w:r>
    </w:p>
    <w:p w:rsidR="00BE4B79" w:rsidRPr="00977958" w:rsidRDefault="00BE4B79" w:rsidP="00DC42EF">
      <w:pPr>
        <w:spacing w:line="360" w:lineRule="auto"/>
        <w:jc w:val="both"/>
        <w:rPr>
          <w:rFonts w:ascii="Garamond" w:hAnsi="Garamond"/>
          <w:sz w:val="24"/>
          <w:szCs w:val="24"/>
        </w:rPr>
        <w:sectPr w:rsidR="00BE4B79" w:rsidRPr="00977958" w:rsidSect="00E83CD4">
          <w:footerReference w:type="default" r:id="rId31"/>
          <w:pgSz w:w="11906" w:h="16838"/>
          <w:pgMar w:top="1440" w:right="1440" w:bottom="1440" w:left="1440" w:header="709" w:footer="709" w:gutter="0"/>
          <w:cols w:space="708"/>
          <w:docGrid w:linePitch="360"/>
        </w:sectPr>
      </w:pPr>
    </w:p>
    <w:p w:rsidR="0088797F" w:rsidRPr="00977958" w:rsidRDefault="0088797F" w:rsidP="0088797F">
      <w:pPr>
        <w:jc w:val="center"/>
        <w:rPr>
          <w:rFonts w:ascii="Garamond" w:hAnsi="Garamond" w:cs="Times New Roman"/>
          <w:b/>
          <w:sz w:val="24"/>
        </w:rPr>
      </w:pPr>
      <w:r w:rsidRPr="00977958">
        <w:rPr>
          <w:rFonts w:ascii="Garamond" w:hAnsi="Garamond" w:cs="Times New Roman"/>
          <w:b/>
          <w:sz w:val="24"/>
        </w:rPr>
        <w:lastRenderedPageBreak/>
        <w:t>Exhibit 2:  Panel Data Models Explaining Cap Rate Dynamics across 38 US Cities (2001-2013)</w:t>
      </w:r>
    </w:p>
    <w:p w:rsidR="0088797F" w:rsidRPr="00977958" w:rsidRDefault="0088797F" w:rsidP="0088797F">
      <w:pPr>
        <w:jc w:val="center"/>
        <w:rPr>
          <w:rFonts w:ascii="Garamond" w:hAnsi="Garamond" w:cs="Times New Roman"/>
          <w:b/>
          <w:sz w:val="24"/>
        </w:rPr>
      </w:pPr>
    </w:p>
    <w:tbl>
      <w:tblPr>
        <w:tblW w:w="4834" w:type="pct"/>
        <w:jc w:val="center"/>
        <w:tblLayout w:type="fixed"/>
        <w:tblLook w:val="04A0" w:firstRow="1" w:lastRow="0" w:firstColumn="1" w:lastColumn="0" w:noHBand="0" w:noVBand="1"/>
      </w:tblPr>
      <w:tblGrid>
        <w:gridCol w:w="2922"/>
        <w:gridCol w:w="2414"/>
        <w:gridCol w:w="1738"/>
        <w:gridCol w:w="1636"/>
        <w:gridCol w:w="1622"/>
        <w:gridCol w:w="1617"/>
        <w:gridCol w:w="1754"/>
      </w:tblGrid>
      <w:tr w:rsidR="0088797F" w:rsidRPr="009F260C" w:rsidTr="00392234">
        <w:trPr>
          <w:trHeight w:val="300"/>
          <w:jc w:val="center"/>
        </w:trPr>
        <w:tc>
          <w:tcPr>
            <w:tcW w:w="1066" w:type="pct"/>
            <w:tcBorders>
              <w:top w:val="double" w:sz="4" w:space="0" w:color="auto"/>
              <w:left w:val="nil"/>
              <w:bottom w:val="nil"/>
              <w:right w:val="single" w:sz="4" w:space="0" w:color="auto"/>
            </w:tcBorders>
            <w:shd w:val="clear" w:color="auto" w:fill="auto"/>
            <w:noWrap/>
            <w:hideMark/>
          </w:tcPr>
          <w:p w:rsidR="0088797F" w:rsidRPr="009F260C" w:rsidRDefault="0088797F" w:rsidP="001C4E4C">
            <w:pPr>
              <w:pStyle w:val="NoSpacing"/>
              <w:jc w:val="center"/>
              <w:rPr>
                <w:rFonts w:ascii="Garamond" w:hAnsi="Garamond"/>
                <w:b/>
                <w:lang w:eastAsia="en-GB"/>
              </w:rPr>
            </w:pPr>
          </w:p>
        </w:tc>
        <w:tc>
          <w:tcPr>
            <w:tcW w:w="881" w:type="pct"/>
            <w:tcBorders>
              <w:top w:val="double" w:sz="4" w:space="0" w:color="auto"/>
              <w:left w:val="single" w:sz="4" w:space="0" w:color="auto"/>
              <w:bottom w:val="nil"/>
              <w:right w:val="nil"/>
            </w:tcBorders>
            <w:shd w:val="clear" w:color="auto" w:fill="auto"/>
            <w:noWrap/>
            <w:hideMark/>
          </w:tcPr>
          <w:p w:rsidR="0088797F" w:rsidRPr="009F260C" w:rsidRDefault="0088797F" w:rsidP="009F260C">
            <w:pPr>
              <w:pStyle w:val="NoSpacing"/>
              <w:jc w:val="center"/>
              <w:rPr>
                <w:rFonts w:ascii="Garamond" w:hAnsi="Garamond"/>
                <w:b/>
                <w:lang w:eastAsia="en-GB"/>
              </w:rPr>
            </w:pPr>
            <w:r w:rsidRPr="009F260C">
              <w:rPr>
                <w:rFonts w:ascii="Garamond" w:hAnsi="Garamond"/>
                <w:b/>
                <w:lang w:eastAsia="en-GB"/>
              </w:rPr>
              <w:t>(1)</w:t>
            </w:r>
          </w:p>
        </w:tc>
        <w:tc>
          <w:tcPr>
            <w:tcW w:w="634" w:type="pct"/>
            <w:tcBorders>
              <w:top w:val="double" w:sz="4" w:space="0" w:color="auto"/>
              <w:left w:val="nil"/>
              <w:bottom w:val="nil"/>
              <w:right w:val="nil"/>
            </w:tcBorders>
            <w:shd w:val="clear" w:color="auto" w:fill="auto"/>
            <w:noWrap/>
            <w:hideMark/>
          </w:tcPr>
          <w:p w:rsidR="0088797F" w:rsidRPr="009F260C" w:rsidRDefault="0088797F" w:rsidP="009F260C">
            <w:pPr>
              <w:pStyle w:val="NoSpacing"/>
              <w:jc w:val="center"/>
              <w:rPr>
                <w:rFonts w:ascii="Garamond" w:hAnsi="Garamond"/>
                <w:b/>
                <w:lang w:eastAsia="en-GB"/>
              </w:rPr>
            </w:pPr>
            <w:r w:rsidRPr="009F260C">
              <w:rPr>
                <w:rFonts w:ascii="Garamond" w:hAnsi="Garamond"/>
                <w:b/>
                <w:lang w:eastAsia="en-GB"/>
              </w:rPr>
              <w:t>(2)</w:t>
            </w:r>
          </w:p>
        </w:tc>
        <w:tc>
          <w:tcPr>
            <w:tcW w:w="597" w:type="pct"/>
            <w:tcBorders>
              <w:top w:val="double" w:sz="4" w:space="0" w:color="auto"/>
              <w:left w:val="nil"/>
              <w:bottom w:val="nil"/>
              <w:right w:val="nil"/>
            </w:tcBorders>
            <w:shd w:val="clear" w:color="auto" w:fill="auto"/>
            <w:noWrap/>
            <w:hideMark/>
          </w:tcPr>
          <w:p w:rsidR="0088797F" w:rsidRPr="009F260C" w:rsidRDefault="0088797F" w:rsidP="009F260C">
            <w:pPr>
              <w:pStyle w:val="NoSpacing"/>
              <w:jc w:val="center"/>
              <w:rPr>
                <w:rFonts w:ascii="Garamond" w:hAnsi="Garamond"/>
                <w:b/>
                <w:lang w:eastAsia="en-GB"/>
              </w:rPr>
            </w:pPr>
            <w:r w:rsidRPr="009F260C">
              <w:rPr>
                <w:rFonts w:ascii="Garamond" w:hAnsi="Garamond"/>
                <w:b/>
                <w:lang w:eastAsia="en-GB"/>
              </w:rPr>
              <w:t>(3)</w:t>
            </w:r>
          </w:p>
        </w:tc>
        <w:tc>
          <w:tcPr>
            <w:tcW w:w="592" w:type="pct"/>
            <w:tcBorders>
              <w:top w:val="double" w:sz="4" w:space="0" w:color="auto"/>
              <w:left w:val="nil"/>
              <w:bottom w:val="nil"/>
              <w:right w:val="nil"/>
            </w:tcBorders>
            <w:shd w:val="clear" w:color="auto" w:fill="auto"/>
            <w:noWrap/>
            <w:hideMark/>
          </w:tcPr>
          <w:p w:rsidR="0088797F" w:rsidRPr="009F260C" w:rsidRDefault="0088797F" w:rsidP="009F260C">
            <w:pPr>
              <w:pStyle w:val="NoSpacing"/>
              <w:jc w:val="center"/>
              <w:rPr>
                <w:rFonts w:ascii="Garamond" w:hAnsi="Garamond"/>
                <w:b/>
                <w:lang w:eastAsia="en-GB"/>
              </w:rPr>
            </w:pPr>
            <w:r w:rsidRPr="009F260C">
              <w:rPr>
                <w:rFonts w:ascii="Garamond" w:hAnsi="Garamond"/>
                <w:b/>
                <w:lang w:eastAsia="en-GB"/>
              </w:rPr>
              <w:t>(4)</w:t>
            </w:r>
          </w:p>
        </w:tc>
        <w:tc>
          <w:tcPr>
            <w:tcW w:w="590" w:type="pct"/>
            <w:tcBorders>
              <w:top w:val="double" w:sz="4" w:space="0" w:color="auto"/>
              <w:left w:val="nil"/>
              <w:bottom w:val="nil"/>
              <w:right w:val="nil"/>
            </w:tcBorders>
            <w:shd w:val="clear" w:color="auto" w:fill="auto"/>
            <w:noWrap/>
            <w:hideMark/>
          </w:tcPr>
          <w:p w:rsidR="0088797F" w:rsidRPr="009F260C" w:rsidRDefault="0088797F" w:rsidP="009F260C">
            <w:pPr>
              <w:pStyle w:val="NoSpacing"/>
              <w:jc w:val="center"/>
              <w:rPr>
                <w:rFonts w:ascii="Garamond" w:hAnsi="Garamond"/>
                <w:b/>
                <w:lang w:eastAsia="en-GB"/>
              </w:rPr>
            </w:pPr>
            <w:r w:rsidRPr="009F260C">
              <w:rPr>
                <w:rFonts w:ascii="Garamond" w:hAnsi="Garamond"/>
                <w:b/>
                <w:lang w:eastAsia="en-GB"/>
              </w:rPr>
              <w:t>(5)</w:t>
            </w:r>
          </w:p>
        </w:tc>
        <w:tc>
          <w:tcPr>
            <w:tcW w:w="640" w:type="pct"/>
            <w:tcBorders>
              <w:top w:val="double" w:sz="4" w:space="0" w:color="auto"/>
              <w:left w:val="single" w:sz="4" w:space="0" w:color="auto"/>
              <w:bottom w:val="nil"/>
              <w:right w:val="nil"/>
            </w:tcBorders>
            <w:shd w:val="clear" w:color="auto" w:fill="auto"/>
            <w:noWrap/>
            <w:hideMark/>
          </w:tcPr>
          <w:p w:rsidR="0088797F" w:rsidRPr="009F260C" w:rsidRDefault="0088797F" w:rsidP="009F260C">
            <w:pPr>
              <w:pStyle w:val="NoSpacing"/>
              <w:jc w:val="center"/>
              <w:rPr>
                <w:rFonts w:ascii="Garamond" w:hAnsi="Garamond"/>
                <w:b/>
                <w:lang w:eastAsia="en-GB"/>
              </w:rPr>
            </w:pPr>
            <w:r w:rsidRPr="009F260C">
              <w:rPr>
                <w:rFonts w:ascii="Garamond" w:hAnsi="Garamond"/>
                <w:b/>
                <w:lang w:eastAsia="en-GB"/>
              </w:rPr>
              <w:t>(6)</w:t>
            </w:r>
          </w:p>
        </w:tc>
      </w:tr>
      <w:tr w:rsidR="0088797F" w:rsidRPr="009F260C" w:rsidTr="00392234">
        <w:trPr>
          <w:trHeight w:val="300"/>
          <w:jc w:val="center"/>
        </w:trPr>
        <w:tc>
          <w:tcPr>
            <w:tcW w:w="1066" w:type="pct"/>
            <w:tcBorders>
              <w:top w:val="nil"/>
              <w:left w:val="nil"/>
              <w:bottom w:val="single" w:sz="4" w:space="0" w:color="auto"/>
              <w:right w:val="single" w:sz="4" w:space="0" w:color="auto"/>
            </w:tcBorders>
            <w:shd w:val="clear" w:color="auto" w:fill="auto"/>
            <w:noWrap/>
            <w:hideMark/>
          </w:tcPr>
          <w:p w:rsidR="0088797F" w:rsidRPr="009F260C" w:rsidRDefault="0088797F" w:rsidP="001C4E4C">
            <w:pPr>
              <w:pStyle w:val="NoSpacing"/>
              <w:jc w:val="center"/>
              <w:rPr>
                <w:rFonts w:ascii="Garamond" w:hAnsi="Garamond"/>
                <w:b/>
                <w:lang w:eastAsia="en-GB"/>
              </w:rPr>
            </w:pPr>
          </w:p>
        </w:tc>
        <w:tc>
          <w:tcPr>
            <w:tcW w:w="881" w:type="pct"/>
            <w:tcBorders>
              <w:top w:val="nil"/>
              <w:left w:val="single" w:sz="4" w:space="0" w:color="auto"/>
              <w:bottom w:val="single" w:sz="4" w:space="0" w:color="auto"/>
              <w:right w:val="nil"/>
            </w:tcBorders>
            <w:shd w:val="clear" w:color="auto" w:fill="auto"/>
            <w:noWrap/>
            <w:hideMark/>
          </w:tcPr>
          <w:p w:rsidR="0088797F" w:rsidRPr="009F260C" w:rsidRDefault="0088797F" w:rsidP="009F260C">
            <w:pPr>
              <w:pStyle w:val="NoSpacing"/>
              <w:jc w:val="center"/>
              <w:rPr>
                <w:rFonts w:ascii="Garamond" w:hAnsi="Garamond"/>
                <w:b/>
                <w:lang w:eastAsia="en-GB"/>
              </w:rPr>
            </w:pPr>
            <w:r w:rsidRPr="009F260C">
              <w:rPr>
                <w:rFonts w:ascii="Garamond" w:hAnsi="Garamond"/>
                <w:b/>
                <w:lang w:eastAsia="en-GB"/>
              </w:rPr>
              <w:t>Log(Cap Rate)</w:t>
            </w:r>
          </w:p>
        </w:tc>
        <w:tc>
          <w:tcPr>
            <w:tcW w:w="634" w:type="pct"/>
            <w:tcBorders>
              <w:top w:val="nil"/>
              <w:left w:val="nil"/>
              <w:bottom w:val="single" w:sz="4" w:space="0" w:color="auto"/>
              <w:right w:val="nil"/>
            </w:tcBorders>
            <w:shd w:val="clear" w:color="auto" w:fill="auto"/>
            <w:noWrap/>
            <w:hideMark/>
          </w:tcPr>
          <w:p w:rsidR="0088797F" w:rsidRPr="009F260C" w:rsidRDefault="0088797F" w:rsidP="009F260C">
            <w:pPr>
              <w:pStyle w:val="NoSpacing"/>
              <w:jc w:val="center"/>
              <w:rPr>
                <w:rFonts w:ascii="Garamond" w:hAnsi="Garamond"/>
                <w:b/>
                <w:lang w:eastAsia="en-GB"/>
              </w:rPr>
            </w:pPr>
            <w:r w:rsidRPr="009F260C">
              <w:rPr>
                <w:rFonts w:ascii="Garamond" w:hAnsi="Garamond"/>
                <w:b/>
                <w:lang w:eastAsia="en-GB"/>
              </w:rPr>
              <w:t>Log(Cap Rate)</w:t>
            </w:r>
          </w:p>
        </w:tc>
        <w:tc>
          <w:tcPr>
            <w:tcW w:w="597" w:type="pct"/>
            <w:tcBorders>
              <w:top w:val="nil"/>
              <w:left w:val="nil"/>
              <w:bottom w:val="single" w:sz="4" w:space="0" w:color="auto"/>
              <w:right w:val="nil"/>
            </w:tcBorders>
            <w:shd w:val="clear" w:color="auto" w:fill="auto"/>
            <w:noWrap/>
            <w:hideMark/>
          </w:tcPr>
          <w:p w:rsidR="0088797F" w:rsidRPr="009F260C" w:rsidRDefault="0088797F" w:rsidP="009F260C">
            <w:pPr>
              <w:pStyle w:val="NoSpacing"/>
              <w:jc w:val="center"/>
              <w:rPr>
                <w:rFonts w:ascii="Garamond" w:hAnsi="Garamond"/>
                <w:b/>
                <w:lang w:eastAsia="en-GB"/>
              </w:rPr>
            </w:pPr>
            <w:r w:rsidRPr="009F260C">
              <w:rPr>
                <w:rFonts w:ascii="Garamond" w:hAnsi="Garamond"/>
                <w:b/>
                <w:lang w:eastAsia="en-GB"/>
              </w:rPr>
              <w:t>Log(Cap Rate)</w:t>
            </w:r>
          </w:p>
        </w:tc>
        <w:tc>
          <w:tcPr>
            <w:tcW w:w="592" w:type="pct"/>
            <w:tcBorders>
              <w:top w:val="nil"/>
              <w:left w:val="nil"/>
              <w:bottom w:val="single" w:sz="4" w:space="0" w:color="auto"/>
              <w:right w:val="nil"/>
            </w:tcBorders>
            <w:shd w:val="clear" w:color="auto" w:fill="auto"/>
            <w:noWrap/>
            <w:hideMark/>
          </w:tcPr>
          <w:p w:rsidR="0088797F" w:rsidRPr="009F260C" w:rsidRDefault="0088797F" w:rsidP="009F260C">
            <w:pPr>
              <w:pStyle w:val="NoSpacing"/>
              <w:jc w:val="center"/>
              <w:rPr>
                <w:rFonts w:ascii="Garamond" w:hAnsi="Garamond"/>
                <w:b/>
                <w:lang w:eastAsia="en-GB"/>
              </w:rPr>
            </w:pPr>
            <w:r w:rsidRPr="009F260C">
              <w:rPr>
                <w:rFonts w:ascii="Garamond" w:hAnsi="Garamond"/>
                <w:b/>
                <w:lang w:eastAsia="en-GB"/>
              </w:rPr>
              <w:t>Log(Cap Rate)</w:t>
            </w:r>
          </w:p>
        </w:tc>
        <w:tc>
          <w:tcPr>
            <w:tcW w:w="590" w:type="pct"/>
            <w:tcBorders>
              <w:top w:val="nil"/>
              <w:left w:val="nil"/>
              <w:bottom w:val="single" w:sz="4" w:space="0" w:color="auto"/>
              <w:right w:val="nil"/>
            </w:tcBorders>
            <w:shd w:val="clear" w:color="auto" w:fill="auto"/>
            <w:noWrap/>
            <w:hideMark/>
          </w:tcPr>
          <w:p w:rsidR="0088797F" w:rsidRPr="009F260C" w:rsidRDefault="0088797F" w:rsidP="009F260C">
            <w:pPr>
              <w:pStyle w:val="NoSpacing"/>
              <w:jc w:val="center"/>
              <w:rPr>
                <w:rFonts w:ascii="Garamond" w:hAnsi="Garamond"/>
                <w:b/>
                <w:lang w:eastAsia="en-GB"/>
              </w:rPr>
            </w:pPr>
            <w:r w:rsidRPr="009F260C">
              <w:rPr>
                <w:rFonts w:ascii="Garamond" w:hAnsi="Garamond"/>
                <w:b/>
                <w:lang w:eastAsia="en-GB"/>
              </w:rPr>
              <w:t>Log(Cap Rate)</w:t>
            </w:r>
          </w:p>
        </w:tc>
        <w:tc>
          <w:tcPr>
            <w:tcW w:w="640" w:type="pct"/>
            <w:tcBorders>
              <w:top w:val="nil"/>
              <w:left w:val="single" w:sz="4" w:space="0" w:color="auto"/>
              <w:bottom w:val="single" w:sz="4" w:space="0" w:color="auto"/>
              <w:right w:val="nil"/>
            </w:tcBorders>
            <w:shd w:val="clear" w:color="auto" w:fill="auto"/>
            <w:noWrap/>
            <w:hideMark/>
          </w:tcPr>
          <w:p w:rsidR="0088797F" w:rsidRPr="009F260C" w:rsidRDefault="0088797F" w:rsidP="009F260C">
            <w:pPr>
              <w:pStyle w:val="NoSpacing"/>
              <w:jc w:val="center"/>
              <w:rPr>
                <w:rFonts w:ascii="Garamond" w:hAnsi="Garamond"/>
                <w:b/>
                <w:lang w:eastAsia="en-GB"/>
              </w:rPr>
            </w:pPr>
            <w:r w:rsidRPr="009F260C">
              <w:rPr>
                <w:rFonts w:ascii="Garamond" w:hAnsi="Garamond"/>
                <w:b/>
                <w:lang w:eastAsia="en-GB"/>
              </w:rPr>
              <w:t>Log(Cap Rate)</w:t>
            </w:r>
          </w:p>
          <w:p w:rsidR="0088797F" w:rsidRPr="009F260C" w:rsidRDefault="00E83CD4" w:rsidP="009F260C">
            <w:pPr>
              <w:pStyle w:val="NoSpacing"/>
              <w:jc w:val="center"/>
              <w:rPr>
                <w:rFonts w:ascii="Garamond" w:hAnsi="Garamond"/>
                <w:b/>
                <w:lang w:eastAsia="en-GB"/>
              </w:rPr>
            </w:pPr>
            <w:r w:rsidRPr="009F260C">
              <w:rPr>
                <w:rFonts w:ascii="Garamond" w:hAnsi="Garamond"/>
                <w:b/>
                <w:lang w:eastAsia="en-GB"/>
              </w:rPr>
              <w:t>R</w:t>
            </w:r>
            <w:r w:rsidR="0088797F" w:rsidRPr="009F260C">
              <w:rPr>
                <w:rFonts w:ascii="Garamond" w:hAnsi="Garamond"/>
                <w:b/>
                <w:lang w:eastAsia="en-GB"/>
              </w:rPr>
              <w:t>esidual</w:t>
            </w:r>
            <w:r w:rsidRPr="009F260C">
              <w:rPr>
                <w:rFonts w:ascii="Garamond" w:hAnsi="Garamond"/>
                <w:b/>
                <w:lang w:eastAsia="en-GB"/>
              </w:rPr>
              <w:t xml:space="preserve"> </w:t>
            </w:r>
            <w:r w:rsidRPr="009F260C">
              <w:rPr>
                <w:rFonts w:ascii="Garamond" w:hAnsi="Garamond"/>
                <w:lang w:eastAsia="en-GB"/>
              </w:rPr>
              <w:t>(using Model 4)</w:t>
            </w:r>
          </w:p>
        </w:tc>
      </w:tr>
      <w:tr w:rsidR="009F260C" w:rsidRPr="009F260C" w:rsidTr="005821E0">
        <w:trPr>
          <w:trHeight w:val="300"/>
          <w:jc w:val="center"/>
        </w:trPr>
        <w:tc>
          <w:tcPr>
            <w:tcW w:w="1066" w:type="pct"/>
            <w:tcBorders>
              <w:top w:val="single" w:sz="4" w:space="0" w:color="auto"/>
              <w:left w:val="nil"/>
              <w:bottom w:val="nil"/>
              <w:right w:val="single" w:sz="4" w:space="0" w:color="auto"/>
            </w:tcBorders>
            <w:shd w:val="clear" w:color="auto" w:fill="auto"/>
            <w:noWrap/>
            <w:hideMark/>
          </w:tcPr>
          <w:p w:rsidR="009F260C" w:rsidRPr="009F260C" w:rsidRDefault="009F260C" w:rsidP="001C4E4C">
            <w:pPr>
              <w:pStyle w:val="NoSpacing"/>
              <w:rPr>
                <w:rFonts w:ascii="Garamond" w:hAnsi="Garamond"/>
                <w:b/>
                <w:lang w:eastAsia="en-GB"/>
              </w:rPr>
            </w:pPr>
            <w:r w:rsidRPr="009F260C">
              <w:rPr>
                <w:rFonts w:ascii="Garamond" w:hAnsi="Garamond"/>
                <w:b/>
                <w:bCs/>
                <w:lang w:val="en-US" w:eastAsia="en-GB"/>
              </w:rPr>
              <w:t>Log(cap rate)</w:t>
            </w:r>
            <w:r w:rsidRPr="009F260C">
              <w:rPr>
                <w:rFonts w:ascii="Garamond" w:hAnsi="Garamond"/>
                <w:b/>
                <w:bCs/>
                <w:vertAlign w:val="subscript"/>
                <w:lang w:val="en-US" w:eastAsia="en-GB"/>
              </w:rPr>
              <w:t>t-1</w:t>
            </w:r>
          </w:p>
        </w:tc>
        <w:tc>
          <w:tcPr>
            <w:tcW w:w="881" w:type="pct"/>
            <w:tcBorders>
              <w:top w:val="single" w:sz="4" w:space="0" w:color="auto"/>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0.436***</w:t>
            </w:r>
          </w:p>
        </w:tc>
        <w:tc>
          <w:tcPr>
            <w:tcW w:w="634" w:type="pct"/>
            <w:tcBorders>
              <w:top w:val="single" w:sz="4" w:space="0" w:color="auto"/>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0.481***</w:t>
            </w:r>
          </w:p>
        </w:tc>
        <w:tc>
          <w:tcPr>
            <w:tcW w:w="597" w:type="pct"/>
            <w:tcBorders>
              <w:top w:val="single" w:sz="4" w:space="0" w:color="auto"/>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0.290***</w:t>
            </w:r>
          </w:p>
        </w:tc>
        <w:tc>
          <w:tcPr>
            <w:tcW w:w="592" w:type="pct"/>
            <w:tcBorders>
              <w:top w:val="single" w:sz="4" w:space="0" w:color="auto"/>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0.117**</w:t>
            </w:r>
          </w:p>
        </w:tc>
        <w:tc>
          <w:tcPr>
            <w:tcW w:w="590" w:type="pct"/>
            <w:tcBorders>
              <w:top w:val="single" w:sz="4" w:space="0" w:color="auto"/>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0.301***</w:t>
            </w:r>
          </w:p>
        </w:tc>
        <w:tc>
          <w:tcPr>
            <w:tcW w:w="640" w:type="pct"/>
            <w:tcBorders>
              <w:top w:val="single" w:sz="4" w:space="0" w:color="auto"/>
              <w:left w:val="single" w:sz="4" w:space="0" w:color="auto"/>
              <w:bottom w:val="nil"/>
              <w:right w:val="nil"/>
            </w:tcBorders>
            <w:shd w:val="clear" w:color="auto" w:fill="auto"/>
            <w:noWrap/>
            <w:vAlign w:val="bottom"/>
          </w:tcPr>
          <w:p w:rsidR="009F260C" w:rsidRPr="009F260C" w:rsidRDefault="009F260C" w:rsidP="009F260C">
            <w:pPr>
              <w:jc w:val="center"/>
              <w:rPr>
                <w:rFonts w:ascii="Garamond" w:hAnsi="Garamond"/>
                <w:color w:val="000000"/>
              </w:rPr>
            </w:pP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hideMark/>
          </w:tcPr>
          <w:p w:rsidR="009F260C" w:rsidRPr="009F260C" w:rsidRDefault="009F260C" w:rsidP="001C4E4C">
            <w:pPr>
              <w:pStyle w:val="NoSpacing"/>
              <w:rPr>
                <w:rFonts w:ascii="Garamond" w:hAnsi="Garamond"/>
                <w:lang w:eastAsia="en-GB"/>
              </w:rPr>
            </w:pPr>
          </w:p>
        </w:tc>
        <w:tc>
          <w:tcPr>
            <w:tcW w:w="881"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(9.69)</w:t>
            </w:r>
          </w:p>
        </w:tc>
        <w:tc>
          <w:tcPr>
            <w:tcW w:w="634"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(13.49)</w:t>
            </w:r>
          </w:p>
        </w:tc>
        <w:tc>
          <w:tcPr>
            <w:tcW w:w="597"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(8.34)</w:t>
            </w:r>
          </w:p>
        </w:tc>
        <w:tc>
          <w:tcPr>
            <w:tcW w:w="592"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(2.89)</w:t>
            </w:r>
          </w:p>
        </w:tc>
        <w:tc>
          <w:tcPr>
            <w:tcW w:w="590"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(7.27)</w:t>
            </w:r>
          </w:p>
        </w:tc>
        <w:tc>
          <w:tcPr>
            <w:tcW w:w="640" w:type="pct"/>
            <w:tcBorders>
              <w:top w:val="nil"/>
              <w:left w:val="single" w:sz="4" w:space="0" w:color="auto"/>
              <w:bottom w:val="nil"/>
              <w:right w:val="nil"/>
            </w:tcBorders>
            <w:shd w:val="clear" w:color="auto" w:fill="auto"/>
            <w:noWrap/>
            <w:vAlign w:val="bottom"/>
          </w:tcPr>
          <w:p w:rsidR="009F260C" w:rsidRPr="009F260C" w:rsidRDefault="009F260C" w:rsidP="009F260C">
            <w:pPr>
              <w:jc w:val="center"/>
              <w:rPr>
                <w:rFonts w:ascii="Garamond" w:hAnsi="Garamond"/>
                <w:color w:val="000000"/>
              </w:rPr>
            </w:pP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hideMark/>
          </w:tcPr>
          <w:p w:rsidR="009F260C" w:rsidRPr="009F260C" w:rsidRDefault="009F260C" w:rsidP="0088797F">
            <w:pPr>
              <w:pStyle w:val="NoSpacing"/>
              <w:rPr>
                <w:rFonts w:ascii="Garamond" w:hAnsi="Garamond"/>
                <w:b/>
                <w:lang w:eastAsia="en-GB"/>
              </w:rPr>
            </w:pPr>
            <w:r w:rsidRPr="009F260C">
              <w:rPr>
                <w:rFonts w:ascii="Garamond" w:hAnsi="Garamond"/>
                <w:b/>
                <w:bCs/>
                <w:lang w:eastAsia="en-GB"/>
              </w:rPr>
              <w:t>Real risk free rate</w:t>
            </w:r>
            <w:r w:rsidRPr="009F260C">
              <w:rPr>
                <w:rFonts w:ascii="Garamond" w:hAnsi="Garamond"/>
                <w:b/>
                <w:bCs/>
                <w:vertAlign w:val="subscript"/>
                <w:lang w:val="en-US" w:eastAsia="en-GB"/>
              </w:rPr>
              <w:t xml:space="preserve"> t-1</w:t>
            </w:r>
          </w:p>
        </w:tc>
        <w:tc>
          <w:tcPr>
            <w:tcW w:w="881"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0.025***</w:t>
            </w:r>
          </w:p>
        </w:tc>
        <w:tc>
          <w:tcPr>
            <w:tcW w:w="634"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0.03</w:t>
            </w:r>
            <w:r>
              <w:rPr>
                <w:rFonts w:ascii="Garamond" w:hAnsi="Garamond"/>
                <w:color w:val="000000"/>
              </w:rPr>
              <w:t>1</w:t>
            </w:r>
            <w:r w:rsidRPr="009F260C">
              <w:rPr>
                <w:rFonts w:ascii="Garamond" w:hAnsi="Garamond"/>
                <w:color w:val="000000"/>
              </w:rPr>
              <w:t>***</w:t>
            </w:r>
          </w:p>
        </w:tc>
        <w:tc>
          <w:tcPr>
            <w:tcW w:w="597"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0.028***</w:t>
            </w:r>
          </w:p>
        </w:tc>
        <w:tc>
          <w:tcPr>
            <w:tcW w:w="592"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0.029***</w:t>
            </w:r>
          </w:p>
        </w:tc>
        <w:tc>
          <w:tcPr>
            <w:tcW w:w="590"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0.02</w:t>
            </w:r>
            <w:r>
              <w:rPr>
                <w:rFonts w:ascii="Garamond" w:hAnsi="Garamond"/>
                <w:color w:val="000000"/>
              </w:rPr>
              <w:t>6</w:t>
            </w:r>
            <w:r w:rsidRPr="009F260C">
              <w:rPr>
                <w:rFonts w:ascii="Garamond" w:hAnsi="Garamond"/>
                <w:color w:val="000000"/>
              </w:rPr>
              <w:t>***</w:t>
            </w:r>
          </w:p>
        </w:tc>
        <w:tc>
          <w:tcPr>
            <w:tcW w:w="640"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hideMark/>
          </w:tcPr>
          <w:p w:rsidR="009F260C" w:rsidRPr="009F260C" w:rsidRDefault="009F260C" w:rsidP="001C4E4C">
            <w:pPr>
              <w:pStyle w:val="NoSpacing"/>
              <w:rPr>
                <w:rFonts w:ascii="Garamond" w:hAnsi="Garamond"/>
                <w:lang w:eastAsia="en-GB"/>
              </w:rPr>
            </w:pPr>
          </w:p>
        </w:tc>
        <w:tc>
          <w:tcPr>
            <w:tcW w:w="881"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(5.31)</w:t>
            </w:r>
          </w:p>
        </w:tc>
        <w:tc>
          <w:tcPr>
            <w:tcW w:w="634"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(9.18)</w:t>
            </w:r>
          </w:p>
        </w:tc>
        <w:tc>
          <w:tcPr>
            <w:tcW w:w="597"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(9.86)</w:t>
            </w:r>
          </w:p>
        </w:tc>
        <w:tc>
          <w:tcPr>
            <w:tcW w:w="592"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(11.13)</w:t>
            </w:r>
          </w:p>
        </w:tc>
        <w:tc>
          <w:tcPr>
            <w:tcW w:w="590"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(8.42)</w:t>
            </w:r>
          </w:p>
        </w:tc>
        <w:tc>
          <w:tcPr>
            <w:tcW w:w="640"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hideMark/>
          </w:tcPr>
          <w:p w:rsidR="009F260C" w:rsidRPr="009F260C" w:rsidRDefault="009F260C" w:rsidP="0088797F">
            <w:pPr>
              <w:pStyle w:val="NoSpacing"/>
              <w:rPr>
                <w:rFonts w:ascii="Garamond" w:hAnsi="Garamond"/>
                <w:b/>
                <w:lang w:eastAsia="en-GB"/>
              </w:rPr>
            </w:pPr>
            <w:r w:rsidRPr="009F260C">
              <w:rPr>
                <w:rFonts w:ascii="Garamond" w:hAnsi="Garamond"/>
                <w:b/>
                <w:bCs/>
                <w:lang w:val="en-US" w:eastAsia="en-GB"/>
              </w:rPr>
              <w:t>Log(Real rent ratio)</w:t>
            </w:r>
            <w:r w:rsidRPr="009F260C">
              <w:rPr>
                <w:rFonts w:ascii="Garamond" w:hAnsi="Garamond"/>
                <w:b/>
                <w:bCs/>
                <w:vertAlign w:val="subscript"/>
                <w:lang w:val="en-US" w:eastAsia="en-GB"/>
              </w:rPr>
              <w:t xml:space="preserve"> t-1</w:t>
            </w:r>
          </w:p>
        </w:tc>
        <w:tc>
          <w:tcPr>
            <w:tcW w:w="881"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0.246</w:t>
            </w:r>
          </w:p>
        </w:tc>
        <w:tc>
          <w:tcPr>
            <w:tcW w:w="634"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0.290</w:t>
            </w:r>
          </w:p>
        </w:tc>
        <w:tc>
          <w:tcPr>
            <w:tcW w:w="597"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0.568**</w:t>
            </w:r>
          </w:p>
        </w:tc>
        <w:tc>
          <w:tcPr>
            <w:tcW w:w="592"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0.707***</w:t>
            </w:r>
          </w:p>
        </w:tc>
        <w:tc>
          <w:tcPr>
            <w:tcW w:w="590"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0.688***</w:t>
            </w:r>
          </w:p>
        </w:tc>
        <w:tc>
          <w:tcPr>
            <w:tcW w:w="640"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hideMark/>
          </w:tcPr>
          <w:p w:rsidR="009F260C" w:rsidRPr="009F260C" w:rsidRDefault="009F260C" w:rsidP="001C4E4C">
            <w:pPr>
              <w:pStyle w:val="NoSpacing"/>
              <w:rPr>
                <w:rFonts w:ascii="Garamond" w:hAnsi="Garamond"/>
                <w:lang w:eastAsia="en-GB"/>
              </w:rPr>
            </w:pPr>
            <w:r w:rsidRPr="009F260C">
              <w:rPr>
                <w:rFonts w:ascii="Garamond" w:hAnsi="Garamond"/>
                <w:lang w:eastAsia="en-GB"/>
              </w:rPr>
              <w:t>(orthogonalised after Model 1)</w:t>
            </w:r>
          </w:p>
        </w:tc>
        <w:tc>
          <w:tcPr>
            <w:tcW w:w="881"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(1.02)</w:t>
            </w:r>
          </w:p>
        </w:tc>
        <w:tc>
          <w:tcPr>
            <w:tcW w:w="634"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(1.38)</w:t>
            </w:r>
          </w:p>
        </w:tc>
        <w:tc>
          <w:tcPr>
            <w:tcW w:w="597"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(3.07)</w:t>
            </w:r>
          </w:p>
        </w:tc>
        <w:tc>
          <w:tcPr>
            <w:tcW w:w="592"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(3.99)</w:t>
            </w:r>
          </w:p>
        </w:tc>
        <w:tc>
          <w:tcPr>
            <w:tcW w:w="590"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(3.34)</w:t>
            </w:r>
          </w:p>
        </w:tc>
        <w:tc>
          <w:tcPr>
            <w:tcW w:w="640"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hideMark/>
          </w:tcPr>
          <w:p w:rsidR="009F260C" w:rsidRPr="009F260C" w:rsidRDefault="009F260C" w:rsidP="001C4E4C">
            <w:pPr>
              <w:pStyle w:val="NoSpacing"/>
              <w:rPr>
                <w:rFonts w:ascii="Garamond" w:hAnsi="Garamond"/>
                <w:b/>
                <w:lang w:eastAsia="en-GB"/>
              </w:rPr>
            </w:pPr>
            <w:r w:rsidRPr="009F260C">
              <w:rPr>
                <w:rFonts w:ascii="Garamond" w:hAnsi="Garamond"/>
                <w:b/>
                <w:lang w:eastAsia="en-GB"/>
              </w:rPr>
              <w:t>Risk_premium</w:t>
            </w:r>
            <w:r w:rsidRPr="009F260C">
              <w:rPr>
                <w:rFonts w:ascii="Garamond" w:hAnsi="Garamond"/>
                <w:b/>
                <w:bCs/>
                <w:lang w:val="en-US" w:eastAsia="en-GB"/>
              </w:rPr>
              <w:t xml:space="preserve"> </w:t>
            </w:r>
            <w:r w:rsidRPr="009F260C">
              <w:rPr>
                <w:rFonts w:ascii="Garamond" w:hAnsi="Garamond"/>
                <w:b/>
                <w:bCs/>
                <w:vertAlign w:val="subscript"/>
                <w:lang w:val="en-US" w:eastAsia="en-GB"/>
              </w:rPr>
              <w:t>t-1</w:t>
            </w:r>
          </w:p>
        </w:tc>
        <w:tc>
          <w:tcPr>
            <w:tcW w:w="881"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634"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597"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0.104***</w:t>
            </w:r>
          </w:p>
        </w:tc>
        <w:tc>
          <w:tcPr>
            <w:tcW w:w="592"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0.129***</w:t>
            </w:r>
          </w:p>
        </w:tc>
        <w:tc>
          <w:tcPr>
            <w:tcW w:w="590"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0.102***</w:t>
            </w:r>
          </w:p>
        </w:tc>
        <w:tc>
          <w:tcPr>
            <w:tcW w:w="640"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hideMark/>
          </w:tcPr>
          <w:p w:rsidR="009F260C" w:rsidRPr="009F260C" w:rsidRDefault="009F260C" w:rsidP="00E83CD4">
            <w:pPr>
              <w:pStyle w:val="NoSpacing"/>
              <w:rPr>
                <w:rFonts w:ascii="Garamond" w:hAnsi="Garamond"/>
                <w:lang w:eastAsia="en-GB"/>
              </w:rPr>
            </w:pPr>
            <w:r w:rsidRPr="009F260C">
              <w:rPr>
                <w:rFonts w:ascii="Garamond" w:hAnsi="Garamond"/>
                <w:lang w:eastAsia="en-GB"/>
              </w:rPr>
              <w:t>(orthogonalised after Model 1)</w:t>
            </w:r>
          </w:p>
        </w:tc>
        <w:tc>
          <w:tcPr>
            <w:tcW w:w="881"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634"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597"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(11.87)</w:t>
            </w:r>
          </w:p>
        </w:tc>
        <w:tc>
          <w:tcPr>
            <w:tcW w:w="592"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(14.29)</w:t>
            </w:r>
          </w:p>
        </w:tc>
        <w:tc>
          <w:tcPr>
            <w:tcW w:w="590"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(10.06)</w:t>
            </w:r>
          </w:p>
        </w:tc>
        <w:tc>
          <w:tcPr>
            <w:tcW w:w="640"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hideMark/>
          </w:tcPr>
          <w:p w:rsidR="009F260C" w:rsidRPr="009F260C" w:rsidRDefault="009F260C" w:rsidP="0088797F">
            <w:pPr>
              <w:pStyle w:val="NoSpacing"/>
              <w:rPr>
                <w:rFonts w:ascii="Garamond" w:hAnsi="Garamond"/>
                <w:b/>
                <w:lang w:eastAsia="en-GB"/>
              </w:rPr>
            </w:pPr>
            <w:r w:rsidRPr="009F260C">
              <w:rPr>
                <w:rFonts w:ascii="Garamond" w:hAnsi="Garamond"/>
                <w:b/>
                <w:bCs/>
                <w:lang w:eastAsia="en-GB"/>
              </w:rPr>
              <w:t>Debt availability</w:t>
            </w:r>
            <w:r w:rsidRPr="009F260C">
              <w:rPr>
                <w:rFonts w:ascii="Garamond" w:hAnsi="Garamond"/>
                <w:b/>
                <w:bCs/>
                <w:vertAlign w:val="subscript"/>
                <w:lang w:val="en-US" w:eastAsia="en-GB"/>
              </w:rPr>
              <w:t xml:space="preserve"> t-1</w:t>
            </w:r>
          </w:p>
        </w:tc>
        <w:tc>
          <w:tcPr>
            <w:tcW w:w="881"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634"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597"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592"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-0.003***</w:t>
            </w:r>
          </w:p>
        </w:tc>
        <w:tc>
          <w:tcPr>
            <w:tcW w:w="590"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-0.00</w:t>
            </w:r>
            <w:r>
              <w:rPr>
                <w:rFonts w:ascii="Garamond" w:hAnsi="Garamond"/>
                <w:color w:val="000000"/>
              </w:rPr>
              <w:t>2</w:t>
            </w:r>
            <w:r w:rsidRPr="009F260C">
              <w:rPr>
                <w:rFonts w:ascii="Garamond" w:hAnsi="Garamond"/>
                <w:color w:val="000000"/>
              </w:rPr>
              <w:t>***</w:t>
            </w:r>
          </w:p>
        </w:tc>
        <w:tc>
          <w:tcPr>
            <w:tcW w:w="640"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tcPr>
          <w:p w:rsidR="009F260C" w:rsidRPr="009F260C" w:rsidRDefault="009F260C" w:rsidP="001C4E4C">
            <w:pPr>
              <w:pStyle w:val="NoSpacing"/>
              <w:rPr>
                <w:rFonts w:ascii="Garamond" w:hAnsi="Garamond"/>
                <w:b/>
                <w:lang w:eastAsia="en-GB"/>
              </w:rPr>
            </w:pPr>
          </w:p>
        </w:tc>
        <w:tc>
          <w:tcPr>
            <w:tcW w:w="881"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634"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597"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592"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(-7.24)</w:t>
            </w:r>
          </w:p>
        </w:tc>
        <w:tc>
          <w:tcPr>
            <w:tcW w:w="590"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(-3.75)</w:t>
            </w:r>
          </w:p>
        </w:tc>
        <w:tc>
          <w:tcPr>
            <w:tcW w:w="640"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hideMark/>
          </w:tcPr>
          <w:p w:rsidR="009F260C" w:rsidRPr="009F260C" w:rsidRDefault="009F260C" w:rsidP="001C4E4C">
            <w:pPr>
              <w:pStyle w:val="NoSpacing"/>
              <w:rPr>
                <w:rFonts w:ascii="Garamond" w:hAnsi="Garamond"/>
                <w:b/>
                <w:lang w:eastAsia="en-GB"/>
              </w:rPr>
            </w:pPr>
            <w:r w:rsidRPr="009F260C">
              <w:rPr>
                <w:rFonts w:ascii="Garamond" w:hAnsi="Garamond"/>
                <w:b/>
                <w:bCs/>
                <w:lang w:val="en-US" w:eastAsia="en-GB"/>
              </w:rPr>
              <w:t>Log(number of APS firms)</w:t>
            </w:r>
            <w:r w:rsidRPr="009F260C">
              <w:rPr>
                <w:rFonts w:ascii="Garamond" w:hAnsi="Garamond"/>
                <w:b/>
                <w:bCs/>
                <w:vertAlign w:val="subscript"/>
                <w:lang w:val="en-US" w:eastAsia="en-GB"/>
              </w:rPr>
              <w:t xml:space="preserve"> t-1</w:t>
            </w:r>
          </w:p>
        </w:tc>
        <w:tc>
          <w:tcPr>
            <w:tcW w:w="881"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634"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597"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592"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590"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-0.02</w:t>
            </w:r>
            <w:r>
              <w:rPr>
                <w:rFonts w:ascii="Garamond" w:hAnsi="Garamond"/>
                <w:color w:val="000000"/>
              </w:rPr>
              <w:t>6</w:t>
            </w:r>
            <w:r w:rsidRPr="009F260C">
              <w:rPr>
                <w:rFonts w:ascii="Garamond" w:hAnsi="Garamond"/>
                <w:color w:val="000000"/>
              </w:rPr>
              <w:t>***</w:t>
            </w:r>
          </w:p>
        </w:tc>
        <w:tc>
          <w:tcPr>
            <w:tcW w:w="640"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-0.02</w:t>
            </w:r>
            <w:r>
              <w:rPr>
                <w:rFonts w:ascii="Garamond" w:hAnsi="Garamond"/>
                <w:color w:val="000000"/>
              </w:rPr>
              <w:t>6</w:t>
            </w:r>
            <w:r w:rsidRPr="009F260C">
              <w:rPr>
                <w:rFonts w:ascii="Garamond" w:hAnsi="Garamond"/>
                <w:color w:val="000000"/>
              </w:rPr>
              <w:t>***</w:t>
            </w: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hideMark/>
          </w:tcPr>
          <w:p w:rsidR="009F260C" w:rsidRPr="009F260C" w:rsidRDefault="009F260C" w:rsidP="001C4E4C">
            <w:pPr>
              <w:pStyle w:val="NoSpacing"/>
              <w:rPr>
                <w:rFonts w:ascii="Garamond" w:hAnsi="Garamond"/>
                <w:lang w:eastAsia="en-GB"/>
              </w:rPr>
            </w:pPr>
          </w:p>
        </w:tc>
        <w:tc>
          <w:tcPr>
            <w:tcW w:w="881"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634"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597"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592"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p>
        </w:tc>
        <w:tc>
          <w:tcPr>
            <w:tcW w:w="590"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(-6.04)</w:t>
            </w:r>
          </w:p>
        </w:tc>
        <w:tc>
          <w:tcPr>
            <w:tcW w:w="640"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(-28.09)</w:t>
            </w: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tcPr>
          <w:p w:rsidR="009F260C" w:rsidRPr="009F260C" w:rsidRDefault="009F260C" w:rsidP="001C4E4C">
            <w:pPr>
              <w:pStyle w:val="NoSpacing"/>
              <w:rPr>
                <w:rFonts w:ascii="Garamond" w:hAnsi="Garamond"/>
                <w:b/>
                <w:bCs/>
                <w:lang w:val="en-US" w:eastAsia="en-GB"/>
              </w:rPr>
            </w:pPr>
            <w:r w:rsidRPr="009F260C">
              <w:rPr>
                <w:rFonts w:ascii="Garamond" w:hAnsi="Garamond"/>
                <w:b/>
                <w:bCs/>
                <w:lang w:val="en-US" w:eastAsia="en-GB"/>
              </w:rPr>
              <w:t>Foreign%</w:t>
            </w:r>
            <w:r w:rsidRPr="009F260C">
              <w:rPr>
                <w:rFonts w:ascii="Garamond" w:hAnsi="Garamond"/>
                <w:b/>
                <w:bCs/>
                <w:vertAlign w:val="subscript"/>
                <w:lang w:val="en-US" w:eastAsia="en-GB"/>
              </w:rPr>
              <w:t xml:space="preserve"> t-1</w:t>
            </w:r>
          </w:p>
        </w:tc>
        <w:tc>
          <w:tcPr>
            <w:tcW w:w="881" w:type="pct"/>
            <w:tcBorders>
              <w:top w:val="nil"/>
              <w:left w:val="single" w:sz="4" w:space="0" w:color="auto"/>
              <w:bottom w:val="nil"/>
              <w:right w:val="nil"/>
            </w:tcBorders>
            <w:shd w:val="clear" w:color="auto" w:fill="auto"/>
            <w:noWrap/>
            <w:vAlign w:val="bottom"/>
          </w:tcPr>
          <w:p w:rsidR="009F260C" w:rsidRPr="009F260C" w:rsidRDefault="009F260C" w:rsidP="009F260C">
            <w:pPr>
              <w:jc w:val="center"/>
              <w:rPr>
                <w:rFonts w:ascii="Garamond" w:hAnsi="Garamond"/>
                <w:color w:val="000000"/>
              </w:rPr>
            </w:pPr>
          </w:p>
        </w:tc>
        <w:tc>
          <w:tcPr>
            <w:tcW w:w="634" w:type="pct"/>
            <w:tcBorders>
              <w:top w:val="nil"/>
              <w:left w:val="nil"/>
              <w:bottom w:val="nil"/>
              <w:right w:val="nil"/>
            </w:tcBorders>
            <w:shd w:val="clear" w:color="auto" w:fill="auto"/>
            <w:noWrap/>
            <w:vAlign w:val="bottom"/>
          </w:tcPr>
          <w:p w:rsidR="009F260C" w:rsidRPr="009F260C" w:rsidRDefault="009F260C" w:rsidP="009F260C">
            <w:pPr>
              <w:jc w:val="center"/>
              <w:rPr>
                <w:rFonts w:ascii="Garamond" w:hAnsi="Garamond"/>
                <w:color w:val="000000"/>
              </w:rPr>
            </w:pPr>
          </w:p>
        </w:tc>
        <w:tc>
          <w:tcPr>
            <w:tcW w:w="597" w:type="pct"/>
            <w:tcBorders>
              <w:top w:val="nil"/>
              <w:left w:val="nil"/>
              <w:bottom w:val="nil"/>
              <w:right w:val="nil"/>
            </w:tcBorders>
            <w:shd w:val="clear" w:color="auto" w:fill="auto"/>
            <w:noWrap/>
            <w:vAlign w:val="bottom"/>
          </w:tcPr>
          <w:p w:rsidR="009F260C" w:rsidRPr="009F260C" w:rsidRDefault="009F260C" w:rsidP="009F260C">
            <w:pPr>
              <w:jc w:val="center"/>
              <w:rPr>
                <w:rFonts w:ascii="Garamond" w:hAnsi="Garamond"/>
                <w:color w:val="000000"/>
              </w:rPr>
            </w:pPr>
          </w:p>
        </w:tc>
        <w:tc>
          <w:tcPr>
            <w:tcW w:w="592" w:type="pct"/>
            <w:tcBorders>
              <w:top w:val="nil"/>
              <w:left w:val="nil"/>
              <w:bottom w:val="nil"/>
              <w:right w:val="nil"/>
            </w:tcBorders>
            <w:shd w:val="clear" w:color="auto" w:fill="auto"/>
            <w:noWrap/>
            <w:vAlign w:val="bottom"/>
          </w:tcPr>
          <w:p w:rsidR="009F260C" w:rsidRPr="009F260C" w:rsidRDefault="009F260C" w:rsidP="009F260C">
            <w:pPr>
              <w:jc w:val="center"/>
              <w:rPr>
                <w:rFonts w:ascii="Garamond" w:hAnsi="Garamond"/>
                <w:color w:val="000000"/>
              </w:rPr>
            </w:pPr>
          </w:p>
        </w:tc>
        <w:tc>
          <w:tcPr>
            <w:tcW w:w="590" w:type="pct"/>
            <w:tcBorders>
              <w:top w:val="nil"/>
              <w:left w:val="nil"/>
              <w:bottom w:val="nil"/>
              <w:right w:val="nil"/>
            </w:tcBorders>
            <w:shd w:val="clear" w:color="auto" w:fill="auto"/>
            <w:noWrap/>
            <w:vAlign w:val="bottom"/>
          </w:tcPr>
          <w:p w:rsidR="009F260C" w:rsidRPr="009F260C" w:rsidRDefault="009F260C" w:rsidP="009F260C">
            <w:pPr>
              <w:jc w:val="center"/>
              <w:rPr>
                <w:rFonts w:ascii="Garamond" w:hAnsi="Garamond"/>
                <w:color w:val="000000"/>
              </w:rPr>
            </w:pPr>
            <w:r w:rsidRPr="009F260C">
              <w:rPr>
                <w:rFonts w:ascii="Garamond" w:hAnsi="Garamond"/>
                <w:color w:val="000000"/>
              </w:rPr>
              <w:t>-0.000</w:t>
            </w:r>
            <w:r>
              <w:rPr>
                <w:rFonts w:ascii="Garamond" w:hAnsi="Garamond"/>
                <w:color w:val="000000"/>
              </w:rPr>
              <w:t>8*</w:t>
            </w:r>
            <w:r w:rsidRPr="009F260C">
              <w:rPr>
                <w:rFonts w:ascii="Garamond" w:hAnsi="Garamond"/>
                <w:color w:val="000000"/>
              </w:rPr>
              <w:t>**</w:t>
            </w:r>
          </w:p>
        </w:tc>
        <w:tc>
          <w:tcPr>
            <w:tcW w:w="640" w:type="pct"/>
            <w:tcBorders>
              <w:top w:val="nil"/>
              <w:left w:val="single" w:sz="4" w:space="0" w:color="auto"/>
              <w:bottom w:val="nil"/>
              <w:right w:val="nil"/>
            </w:tcBorders>
            <w:shd w:val="clear" w:color="auto" w:fill="auto"/>
            <w:noWrap/>
            <w:vAlign w:val="bottom"/>
          </w:tcPr>
          <w:p w:rsidR="009F260C" w:rsidRPr="009F260C" w:rsidRDefault="009F260C" w:rsidP="009F260C">
            <w:pPr>
              <w:jc w:val="center"/>
              <w:rPr>
                <w:rFonts w:ascii="Garamond" w:hAnsi="Garamond"/>
                <w:color w:val="000000"/>
              </w:rPr>
            </w:pPr>
            <w:r w:rsidRPr="009F260C">
              <w:rPr>
                <w:rFonts w:ascii="Garamond" w:hAnsi="Garamond"/>
                <w:color w:val="000000"/>
              </w:rPr>
              <w:t>-0.0004***</w:t>
            </w: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tcPr>
          <w:p w:rsidR="009F260C" w:rsidRPr="009F260C" w:rsidRDefault="009F260C" w:rsidP="001C4E4C">
            <w:pPr>
              <w:pStyle w:val="NoSpacing"/>
              <w:rPr>
                <w:rFonts w:ascii="Garamond" w:hAnsi="Garamond"/>
                <w:b/>
                <w:bCs/>
                <w:lang w:val="en-US" w:eastAsia="en-GB"/>
              </w:rPr>
            </w:pPr>
          </w:p>
        </w:tc>
        <w:tc>
          <w:tcPr>
            <w:tcW w:w="881" w:type="pct"/>
            <w:tcBorders>
              <w:top w:val="nil"/>
              <w:left w:val="single" w:sz="4" w:space="0" w:color="auto"/>
              <w:bottom w:val="nil"/>
              <w:right w:val="nil"/>
            </w:tcBorders>
            <w:shd w:val="clear" w:color="auto" w:fill="auto"/>
            <w:noWrap/>
            <w:vAlign w:val="bottom"/>
          </w:tcPr>
          <w:p w:rsidR="009F260C" w:rsidRPr="009F260C" w:rsidRDefault="009F260C" w:rsidP="009F260C">
            <w:pPr>
              <w:jc w:val="center"/>
              <w:rPr>
                <w:rFonts w:ascii="Garamond" w:hAnsi="Garamond"/>
                <w:color w:val="000000"/>
              </w:rPr>
            </w:pPr>
          </w:p>
        </w:tc>
        <w:tc>
          <w:tcPr>
            <w:tcW w:w="634" w:type="pct"/>
            <w:tcBorders>
              <w:top w:val="nil"/>
              <w:left w:val="nil"/>
              <w:bottom w:val="nil"/>
              <w:right w:val="nil"/>
            </w:tcBorders>
            <w:shd w:val="clear" w:color="auto" w:fill="auto"/>
            <w:noWrap/>
            <w:vAlign w:val="bottom"/>
          </w:tcPr>
          <w:p w:rsidR="009F260C" w:rsidRPr="009F260C" w:rsidRDefault="009F260C" w:rsidP="009F260C">
            <w:pPr>
              <w:jc w:val="center"/>
              <w:rPr>
                <w:rFonts w:ascii="Garamond" w:hAnsi="Garamond"/>
                <w:color w:val="000000"/>
              </w:rPr>
            </w:pPr>
          </w:p>
        </w:tc>
        <w:tc>
          <w:tcPr>
            <w:tcW w:w="597" w:type="pct"/>
            <w:tcBorders>
              <w:top w:val="nil"/>
              <w:left w:val="nil"/>
              <w:bottom w:val="nil"/>
              <w:right w:val="nil"/>
            </w:tcBorders>
            <w:shd w:val="clear" w:color="auto" w:fill="auto"/>
            <w:noWrap/>
            <w:vAlign w:val="bottom"/>
          </w:tcPr>
          <w:p w:rsidR="009F260C" w:rsidRPr="009F260C" w:rsidRDefault="009F260C" w:rsidP="009F260C">
            <w:pPr>
              <w:jc w:val="center"/>
              <w:rPr>
                <w:rFonts w:ascii="Garamond" w:hAnsi="Garamond"/>
                <w:color w:val="000000"/>
              </w:rPr>
            </w:pPr>
          </w:p>
        </w:tc>
        <w:tc>
          <w:tcPr>
            <w:tcW w:w="592" w:type="pct"/>
            <w:tcBorders>
              <w:top w:val="nil"/>
              <w:left w:val="nil"/>
              <w:bottom w:val="nil"/>
              <w:right w:val="nil"/>
            </w:tcBorders>
            <w:shd w:val="clear" w:color="auto" w:fill="auto"/>
            <w:noWrap/>
            <w:vAlign w:val="bottom"/>
          </w:tcPr>
          <w:p w:rsidR="009F260C" w:rsidRPr="009F260C" w:rsidRDefault="009F260C" w:rsidP="009F260C">
            <w:pPr>
              <w:jc w:val="center"/>
              <w:rPr>
                <w:rFonts w:ascii="Garamond" w:hAnsi="Garamond"/>
                <w:color w:val="000000"/>
              </w:rPr>
            </w:pPr>
          </w:p>
        </w:tc>
        <w:tc>
          <w:tcPr>
            <w:tcW w:w="590" w:type="pct"/>
            <w:tcBorders>
              <w:top w:val="nil"/>
              <w:left w:val="nil"/>
              <w:bottom w:val="nil"/>
              <w:right w:val="nil"/>
            </w:tcBorders>
            <w:shd w:val="clear" w:color="auto" w:fill="auto"/>
            <w:noWrap/>
            <w:vAlign w:val="bottom"/>
          </w:tcPr>
          <w:p w:rsidR="009F260C" w:rsidRPr="009F260C" w:rsidRDefault="009F260C" w:rsidP="009F260C">
            <w:pPr>
              <w:jc w:val="center"/>
              <w:rPr>
                <w:rFonts w:ascii="Garamond" w:hAnsi="Garamond"/>
                <w:color w:val="000000"/>
              </w:rPr>
            </w:pPr>
            <w:r w:rsidRPr="009F260C">
              <w:rPr>
                <w:rFonts w:ascii="Garamond" w:hAnsi="Garamond"/>
                <w:color w:val="000000"/>
              </w:rPr>
              <w:t>(-2.90)</w:t>
            </w:r>
          </w:p>
        </w:tc>
        <w:tc>
          <w:tcPr>
            <w:tcW w:w="640" w:type="pct"/>
            <w:tcBorders>
              <w:top w:val="nil"/>
              <w:left w:val="single" w:sz="4" w:space="0" w:color="auto"/>
              <w:bottom w:val="nil"/>
              <w:right w:val="nil"/>
            </w:tcBorders>
            <w:shd w:val="clear" w:color="auto" w:fill="auto"/>
            <w:noWrap/>
            <w:vAlign w:val="bottom"/>
          </w:tcPr>
          <w:p w:rsidR="009F260C" w:rsidRPr="009F260C" w:rsidRDefault="009F260C" w:rsidP="009F260C">
            <w:pPr>
              <w:jc w:val="center"/>
              <w:rPr>
                <w:rFonts w:ascii="Garamond" w:hAnsi="Garamond"/>
                <w:color w:val="000000"/>
              </w:rPr>
            </w:pPr>
            <w:r w:rsidRPr="009F260C">
              <w:rPr>
                <w:rFonts w:ascii="Garamond" w:hAnsi="Garamond"/>
                <w:color w:val="000000"/>
              </w:rPr>
              <w:t>(-28.27)</w:t>
            </w:r>
          </w:p>
        </w:tc>
      </w:tr>
      <w:tr w:rsidR="009F260C" w:rsidRPr="009F260C" w:rsidTr="005821E0">
        <w:trPr>
          <w:trHeight w:val="300"/>
          <w:jc w:val="center"/>
        </w:trPr>
        <w:tc>
          <w:tcPr>
            <w:tcW w:w="1066" w:type="pct"/>
            <w:tcBorders>
              <w:top w:val="nil"/>
              <w:left w:val="nil"/>
              <w:bottom w:val="nil"/>
              <w:right w:val="single" w:sz="4" w:space="0" w:color="auto"/>
            </w:tcBorders>
            <w:shd w:val="clear" w:color="auto" w:fill="auto"/>
            <w:noWrap/>
            <w:hideMark/>
          </w:tcPr>
          <w:p w:rsidR="009F260C" w:rsidRPr="009F260C" w:rsidRDefault="009F260C" w:rsidP="001C4E4C">
            <w:pPr>
              <w:pStyle w:val="NoSpacing"/>
              <w:rPr>
                <w:rFonts w:ascii="Garamond" w:hAnsi="Garamond"/>
                <w:lang w:eastAsia="en-GB"/>
              </w:rPr>
            </w:pPr>
            <w:r w:rsidRPr="009F260C">
              <w:rPr>
                <w:rFonts w:ascii="Garamond" w:hAnsi="Garamond"/>
                <w:lang w:eastAsia="en-GB"/>
              </w:rPr>
              <w:t>Constant</w:t>
            </w:r>
          </w:p>
        </w:tc>
        <w:tc>
          <w:tcPr>
            <w:tcW w:w="881"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1.116***</w:t>
            </w:r>
          </w:p>
        </w:tc>
        <w:tc>
          <w:tcPr>
            <w:tcW w:w="634"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1.015***</w:t>
            </w:r>
          </w:p>
        </w:tc>
        <w:tc>
          <w:tcPr>
            <w:tcW w:w="597"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1.247***</w:t>
            </w:r>
          </w:p>
        </w:tc>
        <w:tc>
          <w:tcPr>
            <w:tcW w:w="592"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1.563***</w:t>
            </w:r>
          </w:p>
        </w:tc>
        <w:tc>
          <w:tcPr>
            <w:tcW w:w="590" w:type="pct"/>
            <w:tcBorders>
              <w:top w:val="nil"/>
              <w:left w:val="nil"/>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1.225***</w:t>
            </w:r>
          </w:p>
        </w:tc>
        <w:tc>
          <w:tcPr>
            <w:tcW w:w="640" w:type="pct"/>
            <w:tcBorders>
              <w:top w:val="nil"/>
              <w:left w:val="single" w:sz="4" w:space="0" w:color="auto"/>
              <w:bottom w:val="nil"/>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0.045***</w:t>
            </w:r>
          </w:p>
        </w:tc>
      </w:tr>
      <w:tr w:rsidR="009F260C" w:rsidRPr="009F260C" w:rsidTr="005821E0">
        <w:trPr>
          <w:trHeight w:val="300"/>
          <w:jc w:val="center"/>
        </w:trPr>
        <w:tc>
          <w:tcPr>
            <w:tcW w:w="1066" w:type="pct"/>
            <w:tcBorders>
              <w:top w:val="nil"/>
              <w:left w:val="nil"/>
              <w:bottom w:val="single" w:sz="4" w:space="0" w:color="auto"/>
              <w:right w:val="single" w:sz="4" w:space="0" w:color="auto"/>
            </w:tcBorders>
            <w:shd w:val="clear" w:color="auto" w:fill="auto"/>
            <w:noWrap/>
            <w:hideMark/>
          </w:tcPr>
          <w:p w:rsidR="009F260C" w:rsidRPr="009F260C" w:rsidRDefault="009F260C" w:rsidP="001C4E4C">
            <w:pPr>
              <w:pStyle w:val="NoSpacing"/>
              <w:rPr>
                <w:rFonts w:ascii="Garamond" w:hAnsi="Garamond"/>
                <w:lang w:eastAsia="en-GB"/>
              </w:rPr>
            </w:pPr>
          </w:p>
        </w:tc>
        <w:tc>
          <w:tcPr>
            <w:tcW w:w="881" w:type="pct"/>
            <w:tcBorders>
              <w:top w:val="nil"/>
              <w:left w:val="single" w:sz="4" w:space="0" w:color="auto"/>
              <w:bottom w:val="single" w:sz="4" w:space="0" w:color="auto"/>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(11.70)</w:t>
            </w:r>
          </w:p>
        </w:tc>
        <w:tc>
          <w:tcPr>
            <w:tcW w:w="634" w:type="pct"/>
            <w:tcBorders>
              <w:top w:val="nil"/>
              <w:left w:val="nil"/>
              <w:bottom w:val="single" w:sz="4" w:space="0" w:color="auto"/>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(13.29)</w:t>
            </w:r>
          </w:p>
        </w:tc>
        <w:tc>
          <w:tcPr>
            <w:tcW w:w="597" w:type="pct"/>
            <w:tcBorders>
              <w:top w:val="nil"/>
              <w:left w:val="nil"/>
              <w:bottom w:val="single" w:sz="4" w:space="0" w:color="auto"/>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(18.31)</w:t>
            </w:r>
          </w:p>
        </w:tc>
        <w:tc>
          <w:tcPr>
            <w:tcW w:w="592" w:type="pct"/>
            <w:tcBorders>
              <w:top w:val="nil"/>
              <w:left w:val="nil"/>
              <w:bottom w:val="single" w:sz="4" w:space="0" w:color="auto"/>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(19.95)</w:t>
            </w:r>
          </w:p>
        </w:tc>
        <w:tc>
          <w:tcPr>
            <w:tcW w:w="590" w:type="pct"/>
            <w:tcBorders>
              <w:top w:val="nil"/>
              <w:left w:val="nil"/>
              <w:bottom w:val="single" w:sz="4" w:space="0" w:color="auto"/>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(15.74)</w:t>
            </w:r>
          </w:p>
        </w:tc>
        <w:tc>
          <w:tcPr>
            <w:tcW w:w="640" w:type="pct"/>
            <w:tcBorders>
              <w:top w:val="nil"/>
              <w:left w:val="single" w:sz="4" w:space="0" w:color="auto"/>
              <w:bottom w:val="single" w:sz="4" w:space="0" w:color="auto"/>
              <w:right w:val="nil"/>
            </w:tcBorders>
            <w:shd w:val="clear" w:color="auto" w:fill="auto"/>
            <w:noWrap/>
            <w:vAlign w:val="bottom"/>
            <w:hideMark/>
          </w:tcPr>
          <w:p w:rsidR="009F260C" w:rsidRPr="009F260C" w:rsidRDefault="009F260C" w:rsidP="009F260C">
            <w:pPr>
              <w:jc w:val="center"/>
              <w:rPr>
                <w:rFonts w:ascii="Garamond" w:hAnsi="Garamond"/>
                <w:color w:val="000000"/>
              </w:rPr>
            </w:pPr>
            <w:r w:rsidRPr="009F260C">
              <w:rPr>
                <w:rFonts w:ascii="Garamond" w:hAnsi="Garamond"/>
                <w:color w:val="000000"/>
              </w:rPr>
              <w:t>(49.33)</w:t>
            </w:r>
          </w:p>
        </w:tc>
      </w:tr>
      <w:tr w:rsidR="0088797F" w:rsidRPr="009F260C" w:rsidTr="00392234">
        <w:trPr>
          <w:trHeight w:val="900"/>
          <w:jc w:val="center"/>
        </w:trPr>
        <w:tc>
          <w:tcPr>
            <w:tcW w:w="1066" w:type="pct"/>
            <w:tcBorders>
              <w:top w:val="single" w:sz="4" w:space="0" w:color="auto"/>
              <w:left w:val="nil"/>
              <w:bottom w:val="single" w:sz="4" w:space="0" w:color="auto"/>
              <w:right w:val="single" w:sz="4" w:space="0" w:color="auto"/>
            </w:tcBorders>
            <w:shd w:val="clear" w:color="auto" w:fill="auto"/>
            <w:noWrap/>
          </w:tcPr>
          <w:p w:rsidR="0088797F" w:rsidRPr="009F260C" w:rsidRDefault="0088797F" w:rsidP="001C4E4C">
            <w:pPr>
              <w:pStyle w:val="NoSpacing"/>
              <w:rPr>
                <w:rFonts w:ascii="Garamond" w:hAnsi="Garamond"/>
              </w:rPr>
            </w:pPr>
            <w:r w:rsidRPr="009F260C">
              <w:rPr>
                <w:rFonts w:ascii="Garamond" w:hAnsi="Garamond"/>
                <w:color w:val="000000" w:themeColor="dark1"/>
                <w:kern w:val="24"/>
                <w:lang w:val="en-US"/>
              </w:rPr>
              <w:t>Model Specifications</w:t>
            </w:r>
          </w:p>
        </w:tc>
        <w:tc>
          <w:tcPr>
            <w:tcW w:w="881" w:type="pct"/>
            <w:tcBorders>
              <w:top w:val="single" w:sz="4" w:space="0" w:color="auto"/>
              <w:left w:val="single" w:sz="4" w:space="0" w:color="auto"/>
              <w:bottom w:val="single" w:sz="4" w:space="0" w:color="auto"/>
              <w:right w:val="nil"/>
            </w:tcBorders>
            <w:shd w:val="clear" w:color="auto" w:fill="auto"/>
            <w:noWrap/>
          </w:tcPr>
          <w:p w:rsidR="0088797F" w:rsidRPr="009F260C" w:rsidRDefault="0088797F" w:rsidP="009F260C">
            <w:pPr>
              <w:pStyle w:val="NoSpacing"/>
              <w:jc w:val="center"/>
              <w:rPr>
                <w:rFonts w:ascii="Garamond" w:hAnsi="Garamond"/>
              </w:rPr>
            </w:pPr>
            <w:r w:rsidRPr="009F260C">
              <w:rPr>
                <w:rFonts w:ascii="Garamond" w:hAnsi="Garamond"/>
                <w:color w:val="000000" w:themeColor="dark1"/>
                <w:kern w:val="24"/>
                <w:lang w:val="en-US"/>
              </w:rPr>
              <w:t>OLS</w:t>
            </w:r>
          </w:p>
          <w:p w:rsidR="0088797F" w:rsidRPr="009F260C" w:rsidRDefault="0088797F" w:rsidP="009F260C">
            <w:pPr>
              <w:pStyle w:val="NoSpacing"/>
              <w:jc w:val="center"/>
              <w:rPr>
                <w:rFonts w:ascii="Garamond" w:hAnsi="Garamond"/>
              </w:rPr>
            </w:pPr>
            <w:r w:rsidRPr="009F260C">
              <w:rPr>
                <w:rFonts w:ascii="Garamond" w:hAnsi="Garamond"/>
                <w:color w:val="000000" w:themeColor="dark1"/>
                <w:kern w:val="24"/>
                <w:lang w:val="en-US"/>
              </w:rPr>
              <w:t>City Fixed Effects (FE)</w:t>
            </w:r>
          </w:p>
        </w:tc>
        <w:tc>
          <w:tcPr>
            <w:tcW w:w="634" w:type="pct"/>
            <w:tcBorders>
              <w:top w:val="single" w:sz="4" w:space="0" w:color="auto"/>
              <w:left w:val="nil"/>
              <w:bottom w:val="single" w:sz="4" w:space="0" w:color="auto"/>
              <w:right w:val="nil"/>
            </w:tcBorders>
            <w:shd w:val="clear" w:color="auto" w:fill="auto"/>
            <w:noWrap/>
          </w:tcPr>
          <w:p w:rsidR="0088797F" w:rsidRPr="009F260C" w:rsidRDefault="0088797F" w:rsidP="009F260C">
            <w:pPr>
              <w:pStyle w:val="NoSpacing"/>
              <w:jc w:val="center"/>
              <w:rPr>
                <w:rFonts w:ascii="Garamond" w:hAnsi="Garamond"/>
              </w:rPr>
            </w:pPr>
            <w:r w:rsidRPr="009F260C">
              <w:rPr>
                <w:rFonts w:ascii="Garamond" w:hAnsi="Garamond"/>
                <w:color w:val="000000" w:themeColor="dark1"/>
                <w:kern w:val="24"/>
                <w:lang w:val="en-US"/>
              </w:rPr>
              <w:t>FGLS</w:t>
            </w:r>
          </w:p>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Panel-AR(1)</w:t>
            </w:r>
          </w:p>
          <w:p w:rsidR="0088797F" w:rsidRPr="009F260C" w:rsidRDefault="0088797F" w:rsidP="009F260C">
            <w:pPr>
              <w:pStyle w:val="NoSpacing"/>
              <w:jc w:val="center"/>
              <w:rPr>
                <w:rFonts w:ascii="Garamond" w:hAnsi="Garamond"/>
              </w:rPr>
            </w:pPr>
            <w:r w:rsidRPr="009F260C">
              <w:rPr>
                <w:rFonts w:ascii="Garamond" w:hAnsi="Garamond"/>
                <w:color w:val="000000" w:themeColor="dark1"/>
                <w:kern w:val="24"/>
                <w:lang w:val="en-US"/>
              </w:rPr>
              <w:t>City FE</w:t>
            </w:r>
          </w:p>
        </w:tc>
        <w:tc>
          <w:tcPr>
            <w:tcW w:w="597" w:type="pct"/>
            <w:tcBorders>
              <w:top w:val="single" w:sz="4" w:space="0" w:color="auto"/>
              <w:left w:val="nil"/>
              <w:bottom w:val="single" w:sz="4" w:space="0" w:color="auto"/>
              <w:right w:val="nil"/>
            </w:tcBorders>
            <w:shd w:val="clear" w:color="auto" w:fill="auto"/>
            <w:noWrap/>
          </w:tcPr>
          <w:p w:rsidR="0088797F" w:rsidRPr="009F260C" w:rsidRDefault="0088797F" w:rsidP="009F260C">
            <w:pPr>
              <w:pStyle w:val="NoSpacing"/>
              <w:jc w:val="center"/>
              <w:rPr>
                <w:rFonts w:ascii="Garamond" w:hAnsi="Garamond"/>
              </w:rPr>
            </w:pPr>
            <w:r w:rsidRPr="009F260C">
              <w:rPr>
                <w:rFonts w:ascii="Garamond" w:hAnsi="Garamond"/>
                <w:color w:val="000000" w:themeColor="dark1"/>
                <w:kern w:val="24"/>
                <w:lang w:val="en-US"/>
              </w:rPr>
              <w:t>FGLS</w:t>
            </w:r>
          </w:p>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Panel-AR(1)</w:t>
            </w:r>
          </w:p>
          <w:p w:rsidR="0088797F" w:rsidRPr="009F260C" w:rsidRDefault="0088797F" w:rsidP="009F260C">
            <w:pPr>
              <w:pStyle w:val="NoSpacing"/>
              <w:jc w:val="center"/>
              <w:rPr>
                <w:rFonts w:ascii="Garamond" w:hAnsi="Garamond"/>
              </w:rPr>
            </w:pPr>
            <w:r w:rsidRPr="009F260C">
              <w:rPr>
                <w:rFonts w:ascii="Garamond" w:hAnsi="Garamond"/>
                <w:color w:val="000000" w:themeColor="dark1"/>
                <w:kern w:val="24"/>
                <w:lang w:val="en-US"/>
              </w:rPr>
              <w:t>City FE</w:t>
            </w:r>
          </w:p>
        </w:tc>
        <w:tc>
          <w:tcPr>
            <w:tcW w:w="592" w:type="pct"/>
            <w:tcBorders>
              <w:top w:val="single" w:sz="4" w:space="0" w:color="auto"/>
              <w:left w:val="nil"/>
              <w:bottom w:val="single" w:sz="4" w:space="0" w:color="auto"/>
              <w:right w:val="nil"/>
            </w:tcBorders>
            <w:shd w:val="clear" w:color="auto" w:fill="auto"/>
            <w:noWrap/>
          </w:tcPr>
          <w:p w:rsidR="0088797F" w:rsidRPr="009F260C" w:rsidRDefault="0088797F" w:rsidP="009F260C">
            <w:pPr>
              <w:pStyle w:val="NoSpacing"/>
              <w:jc w:val="center"/>
              <w:rPr>
                <w:rFonts w:ascii="Garamond" w:hAnsi="Garamond"/>
              </w:rPr>
            </w:pPr>
            <w:r w:rsidRPr="009F260C">
              <w:rPr>
                <w:rFonts w:ascii="Garamond" w:hAnsi="Garamond"/>
                <w:color w:val="000000" w:themeColor="dark1"/>
                <w:kern w:val="24"/>
                <w:lang w:val="en-US"/>
              </w:rPr>
              <w:t>FGLS</w:t>
            </w:r>
          </w:p>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Panel-AR(1)</w:t>
            </w:r>
          </w:p>
          <w:p w:rsidR="0088797F" w:rsidRPr="009F260C" w:rsidRDefault="0088797F" w:rsidP="009F260C">
            <w:pPr>
              <w:pStyle w:val="NoSpacing"/>
              <w:jc w:val="center"/>
              <w:rPr>
                <w:rFonts w:ascii="Garamond" w:hAnsi="Garamond"/>
              </w:rPr>
            </w:pPr>
            <w:r w:rsidRPr="009F260C">
              <w:rPr>
                <w:rFonts w:ascii="Garamond" w:hAnsi="Garamond"/>
                <w:color w:val="000000" w:themeColor="dark1"/>
                <w:kern w:val="24"/>
                <w:lang w:val="en-US"/>
              </w:rPr>
              <w:t>City FE</w:t>
            </w:r>
          </w:p>
        </w:tc>
        <w:tc>
          <w:tcPr>
            <w:tcW w:w="590" w:type="pct"/>
            <w:tcBorders>
              <w:top w:val="single" w:sz="4" w:space="0" w:color="auto"/>
              <w:left w:val="nil"/>
              <w:bottom w:val="single" w:sz="4" w:space="0" w:color="auto"/>
              <w:right w:val="nil"/>
            </w:tcBorders>
            <w:shd w:val="clear" w:color="auto" w:fill="auto"/>
            <w:noWrap/>
          </w:tcPr>
          <w:p w:rsidR="0088797F" w:rsidRPr="009F260C" w:rsidRDefault="0088797F" w:rsidP="009F260C">
            <w:pPr>
              <w:pStyle w:val="NoSpacing"/>
              <w:jc w:val="center"/>
              <w:rPr>
                <w:rFonts w:ascii="Garamond" w:hAnsi="Garamond"/>
              </w:rPr>
            </w:pPr>
            <w:r w:rsidRPr="009F260C">
              <w:rPr>
                <w:rFonts w:ascii="Garamond" w:hAnsi="Garamond"/>
                <w:color w:val="000000" w:themeColor="dark1"/>
                <w:kern w:val="24"/>
                <w:lang w:val="en-US"/>
              </w:rPr>
              <w:t>FGLS</w:t>
            </w:r>
          </w:p>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Panel-AR(1)</w:t>
            </w:r>
          </w:p>
          <w:p w:rsidR="0088797F" w:rsidRPr="009F260C" w:rsidRDefault="0088797F" w:rsidP="009F260C">
            <w:pPr>
              <w:pStyle w:val="NoSpacing"/>
              <w:jc w:val="center"/>
              <w:rPr>
                <w:rFonts w:ascii="Garamond" w:hAnsi="Garamond"/>
                <w:lang w:eastAsia="en-GB"/>
              </w:rPr>
            </w:pPr>
            <w:r w:rsidRPr="009F260C">
              <w:rPr>
                <w:rFonts w:ascii="Garamond" w:hAnsi="Garamond"/>
                <w:lang w:eastAsia="en-GB"/>
              </w:rPr>
              <w:t>City FE</w:t>
            </w:r>
          </w:p>
        </w:tc>
        <w:tc>
          <w:tcPr>
            <w:tcW w:w="640" w:type="pct"/>
            <w:tcBorders>
              <w:top w:val="single" w:sz="4" w:space="0" w:color="auto"/>
              <w:left w:val="single" w:sz="4" w:space="0" w:color="auto"/>
              <w:bottom w:val="single" w:sz="4" w:space="0" w:color="auto"/>
              <w:right w:val="nil"/>
            </w:tcBorders>
            <w:shd w:val="clear" w:color="auto" w:fill="auto"/>
            <w:noWrap/>
          </w:tcPr>
          <w:p w:rsidR="0088797F" w:rsidRPr="009F260C" w:rsidRDefault="0088797F" w:rsidP="009F260C">
            <w:pPr>
              <w:pStyle w:val="NoSpacing"/>
              <w:jc w:val="center"/>
              <w:rPr>
                <w:rFonts w:ascii="Garamond" w:hAnsi="Garamond"/>
              </w:rPr>
            </w:pPr>
            <w:r w:rsidRPr="009F260C">
              <w:rPr>
                <w:rFonts w:ascii="Garamond" w:hAnsi="Garamond"/>
                <w:color w:val="000000" w:themeColor="dark1"/>
                <w:kern w:val="24"/>
                <w:lang w:val="en-US"/>
              </w:rPr>
              <w:t>FGLS</w:t>
            </w:r>
          </w:p>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Panel-AR(1)</w:t>
            </w:r>
          </w:p>
          <w:p w:rsidR="0088797F" w:rsidRPr="009F260C" w:rsidRDefault="0088797F" w:rsidP="009F260C">
            <w:pPr>
              <w:pStyle w:val="NoSpacing"/>
              <w:jc w:val="center"/>
              <w:rPr>
                <w:rFonts w:ascii="Garamond" w:hAnsi="Garamond"/>
                <w:lang w:eastAsia="en-GB"/>
              </w:rPr>
            </w:pPr>
            <w:r w:rsidRPr="009F260C">
              <w:rPr>
                <w:rFonts w:ascii="Garamond" w:hAnsi="Garamond"/>
                <w:lang w:eastAsia="en-GB"/>
              </w:rPr>
              <w:t>City FE</w:t>
            </w:r>
          </w:p>
        </w:tc>
      </w:tr>
      <w:tr w:rsidR="0088797F" w:rsidRPr="009F260C" w:rsidTr="00392234">
        <w:trPr>
          <w:trHeight w:val="300"/>
          <w:jc w:val="center"/>
        </w:trPr>
        <w:tc>
          <w:tcPr>
            <w:tcW w:w="1066" w:type="pct"/>
            <w:tcBorders>
              <w:top w:val="single" w:sz="4" w:space="0" w:color="auto"/>
              <w:left w:val="nil"/>
              <w:bottom w:val="single" w:sz="4" w:space="0" w:color="auto"/>
              <w:right w:val="single" w:sz="4" w:space="0" w:color="auto"/>
            </w:tcBorders>
            <w:shd w:val="clear" w:color="auto" w:fill="auto"/>
            <w:noWrap/>
          </w:tcPr>
          <w:p w:rsidR="0088797F" w:rsidRPr="009F260C" w:rsidRDefault="0088797F" w:rsidP="001C4E4C">
            <w:pPr>
              <w:pStyle w:val="NoSpacing"/>
              <w:rPr>
                <w:rFonts w:ascii="Garamond" w:hAnsi="Garamond"/>
              </w:rPr>
            </w:pPr>
            <w:r w:rsidRPr="009F260C">
              <w:rPr>
                <w:rFonts w:ascii="Garamond" w:hAnsi="Garamond"/>
                <w:color w:val="000000" w:themeColor="dark1"/>
                <w:kern w:val="24"/>
                <w:lang w:val="en-US"/>
              </w:rPr>
              <w:t>Sample (annual)</w:t>
            </w:r>
          </w:p>
        </w:tc>
        <w:tc>
          <w:tcPr>
            <w:tcW w:w="881" w:type="pct"/>
            <w:tcBorders>
              <w:top w:val="single" w:sz="4" w:space="0" w:color="auto"/>
              <w:left w:val="single" w:sz="4" w:space="0" w:color="auto"/>
              <w:bottom w:val="single" w:sz="4" w:space="0" w:color="auto"/>
              <w:right w:val="nil"/>
            </w:tcBorders>
            <w:shd w:val="clear" w:color="auto" w:fill="auto"/>
            <w:noWrap/>
          </w:tcPr>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38 cities</w:t>
            </w:r>
          </w:p>
          <w:p w:rsidR="0088797F" w:rsidRPr="009F260C" w:rsidRDefault="0088797F" w:rsidP="009F260C">
            <w:pPr>
              <w:pStyle w:val="NoSpacing"/>
              <w:jc w:val="center"/>
              <w:rPr>
                <w:rFonts w:ascii="Garamond" w:hAnsi="Garamond"/>
              </w:rPr>
            </w:pPr>
            <w:r w:rsidRPr="009F260C">
              <w:rPr>
                <w:rFonts w:ascii="Garamond" w:hAnsi="Garamond"/>
                <w:color w:val="000000" w:themeColor="dark1"/>
                <w:kern w:val="24"/>
                <w:lang w:val="en-US"/>
              </w:rPr>
              <w:t>2001-2013</w:t>
            </w:r>
          </w:p>
        </w:tc>
        <w:tc>
          <w:tcPr>
            <w:tcW w:w="634" w:type="pct"/>
            <w:tcBorders>
              <w:top w:val="single" w:sz="4" w:space="0" w:color="auto"/>
              <w:left w:val="nil"/>
              <w:bottom w:val="single" w:sz="4" w:space="0" w:color="auto"/>
              <w:right w:val="nil"/>
            </w:tcBorders>
            <w:shd w:val="clear" w:color="auto" w:fill="auto"/>
            <w:noWrap/>
          </w:tcPr>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38 cities</w:t>
            </w:r>
          </w:p>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2001-2013</w:t>
            </w:r>
          </w:p>
        </w:tc>
        <w:tc>
          <w:tcPr>
            <w:tcW w:w="597" w:type="pct"/>
            <w:tcBorders>
              <w:top w:val="single" w:sz="4" w:space="0" w:color="auto"/>
              <w:left w:val="nil"/>
              <w:bottom w:val="single" w:sz="4" w:space="0" w:color="auto"/>
              <w:right w:val="nil"/>
            </w:tcBorders>
            <w:shd w:val="clear" w:color="auto" w:fill="auto"/>
            <w:noWrap/>
          </w:tcPr>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38 cities</w:t>
            </w:r>
          </w:p>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2001-2013</w:t>
            </w:r>
          </w:p>
        </w:tc>
        <w:tc>
          <w:tcPr>
            <w:tcW w:w="592" w:type="pct"/>
            <w:tcBorders>
              <w:top w:val="single" w:sz="4" w:space="0" w:color="auto"/>
              <w:left w:val="nil"/>
              <w:bottom w:val="single" w:sz="4" w:space="0" w:color="auto"/>
              <w:right w:val="nil"/>
            </w:tcBorders>
            <w:shd w:val="clear" w:color="auto" w:fill="auto"/>
            <w:noWrap/>
          </w:tcPr>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38 cities</w:t>
            </w:r>
          </w:p>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2001-2013</w:t>
            </w:r>
          </w:p>
        </w:tc>
        <w:tc>
          <w:tcPr>
            <w:tcW w:w="590" w:type="pct"/>
            <w:tcBorders>
              <w:top w:val="single" w:sz="4" w:space="0" w:color="auto"/>
              <w:left w:val="nil"/>
              <w:bottom w:val="single" w:sz="4" w:space="0" w:color="auto"/>
              <w:right w:val="nil"/>
            </w:tcBorders>
            <w:shd w:val="clear" w:color="auto" w:fill="auto"/>
            <w:noWrap/>
          </w:tcPr>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38 cities</w:t>
            </w:r>
          </w:p>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2001-2013</w:t>
            </w:r>
          </w:p>
        </w:tc>
        <w:tc>
          <w:tcPr>
            <w:tcW w:w="640" w:type="pct"/>
            <w:tcBorders>
              <w:top w:val="single" w:sz="4" w:space="0" w:color="auto"/>
              <w:left w:val="single" w:sz="4" w:space="0" w:color="auto"/>
              <w:bottom w:val="single" w:sz="4" w:space="0" w:color="auto"/>
              <w:right w:val="nil"/>
            </w:tcBorders>
            <w:shd w:val="clear" w:color="auto" w:fill="auto"/>
            <w:noWrap/>
          </w:tcPr>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38 cities</w:t>
            </w:r>
          </w:p>
          <w:p w:rsidR="0088797F" w:rsidRPr="009F260C" w:rsidRDefault="0088797F" w:rsidP="009F260C">
            <w:pPr>
              <w:pStyle w:val="NoSpacing"/>
              <w:jc w:val="center"/>
              <w:rPr>
                <w:rFonts w:ascii="Garamond" w:hAnsi="Garamond"/>
                <w:color w:val="000000" w:themeColor="dark1"/>
                <w:kern w:val="24"/>
                <w:lang w:val="en-US"/>
              </w:rPr>
            </w:pPr>
            <w:r w:rsidRPr="009F260C">
              <w:rPr>
                <w:rFonts w:ascii="Garamond" w:hAnsi="Garamond"/>
                <w:color w:val="000000" w:themeColor="dark1"/>
                <w:kern w:val="24"/>
                <w:lang w:val="en-US"/>
              </w:rPr>
              <w:t>2001-2013</w:t>
            </w:r>
          </w:p>
        </w:tc>
      </w:tr>
      <w:tr w:rsidR="0088797F" w:rsidRPr="009F260C" w:rsidTr="00392234">
        <w:trPr>
          <w:trHeight w:val="300"/>
          <w:jc w:val="center"/>
        </w:trPr>
        <w:tc>
          <w:tcPr>
            <w:tcW w:w="1066" w:type="pct"/>
            <w:tcBorders>
              <w:top w:val="single" w:sz="4" w:space="0" w:color="auto"/>
              <w:left w:val="nil"/>
              <w:bottom w:val="double" w:sz="4" w:space="0" w:color="auto"/>
              <w:right w:val="single" w:sz="4" w:space="0" w:color="auto"/>
            </w:tcBorders>
            <w:shd w:val="clear" w:color="auto" w:fill="auto"/>
            <w:noWrap/>
            <w:hideMark/>
          </w:tcPr>
          <w:p w:rsidR="0088797F" w:rsidRPr="009F260C" w:rsidRDefault="0088797F" w:rsidP="001C4E4C">
            <w:pPr>
              <w:pStyle w:val="NoSpacing"/>
              <w:rPr>
                <w:rFonts w:ascii="Garamond" w:hAnsi="Garamond"/>
                <w:lang w:eastAsia="en-GB"/>
              </w:rPr>
            </w:pPr>
            <w:r w:rsidRPr="009F260C">
              <w:rPr>
                <w:rFonts w:ascii="Garamond" w:hAnsi="Garamond"/>
                <w:lang w:eastAsia="en-GB"/>
              </w:rPr>
              <w:t>N</w:t>
            </w:r>
          </w:p>
        </w:tc>
        <w:tc>
          <w:tcPr>
            <w:tcW w:w="881" w:type="pct"/>
            <w:tcBorders>
              <w:top w:val="single" w:sz="4" w:space="0" w:color="auto"/>
              <w:left w:val="single" w:sz="4" w:space="0" w:color="auto"/>
              <w:bottom w:val="double" w:sz="4" w:space="0" w:color="auto"/>
              <w:right w:val="nil"/>
            </w:tcBorders>
            <w:shd w:val="clear" w:color="auto" w:fill="auto"/>
            <w:noWrap/>
            <w:hideMark/>
          </w:tcPr>
          <w:p w:rsidR="0088797F" w:rsidRPr="009F260C" w:rsidRDefault="0088797F" w:rsidP="009F260C">
            <w:pPr>
              <w:jc w:val="center"/>
              <w:rPr>
                <w:rFonts w:ascii="Garamond" w:hAnsi="Garamond"/>
              </w:rPr>
            </w:pPr>
            <w:r w:rsidRPr="009F260C">
              <w:rPr>
                <w:rFonts w:ascii="Garamond" w:hAnsi="Garamond"/>
                <w:color w:val="000000"/>
              </w:rPr>
              <w:t>408 (R</w:t>
            </w:r>
            <w:r w:rsidRPr="009F260C">
              <w:rPr>
                <w:rFonts w:ascii="Garamond" w:hAnsi="Garamond"/>
                <w:color w:val="000000"/>
                <w:vertAlign w:val="superscript"/>
              </w:rPr>
              <w:t>2</w:t>
            </w:r>
            <w:r w:rsidRPr="009F260C">
              <w:rPr>
                <w:rFonts w:ascii="Garamond" w:hAnsi="Garamond"/>
              </w:rPr>
              <w:t>=0.</w:t>
            </w:r>
            <w:r w:rsidR="009F260C" w:rsidRPr="009F260C">
              <w:rPr>
                <w:rFonts w:ascii="Garamond" w:hAnsi="Garamond"/>
              </w:rPr>
              <w:t>44</w:t>
            </w:r>
            <w:r w:rsidRPr="009F260C">
              <w:rPr>
                <w:rFonts w:ascii="Garamond" w:hAnsi="Garamond"/>
              </w:rPr>
              <w:t>)</w:t>
            </w:r>
          </w:p>
        </w:tc>
        <w:tc>
          <w:tcPr>
            <w:tcW w:w="634" w:type="pct"/>
            <w:tcBorders>
              <w:top w:val="single" w:sz="4" w:space="0" w:color="auto"/>
              <w:left w:val="nil"/>
              <w:bottom w:val="double" w:sz="4" w:space="0" w:color="auto"/>
              <w:right w:val="nil"/>
            </w:tcBorders>
            <w:shd w:val="clear" w:color="auto" w:fill="auto"/>
            <w:noWrap/>
            <w:hideMark/>
          </w:tcPr>
          <w:p w:rsidR="0088797F" w:rsidRPr="009F260C" w:rsidRDefault="0088797F" w:rsidP="009F260C">
            <w:pPr>
              <w:jc w:val="center"/>
              <w:rPr>
                <w:rFonts w:ascii="Garamond" w:hAnsi="Garamond"/>
                <w:color w:val="000000"/>
              </w:rPr>
            </w:pPr>
            <w:r w:rsidRPr="009F260C">
              <w:rPr>
                <w:rFonts w:ascii="Garamond" w:hAnsi="Garamond"/>
                <w:color w:val="000000"/>
              </w:rPr>
              <w:t>408</w:t>
            </w:r>
          </w:p>
        </w:tc>
        <w:tc>
          <w:tcPr>
            <w:tcW w:w="597" w:type="pct"/>
            <w:tcBorders>
              <w:top w:val="single" w:sz="4" w:space="0" w:color="auto"/>
              <w:left w:val="nil"/>
              <w:bottom w:val="double" w:sz="4" w:space="0" w:color="auto"/>
              <w:right w:val="nil"/>
            </w:tcBorders>
            <w:shd w:val="clear" w:color="auto" w:fill="auto"/>
            <w:noWrap/>
            <w:hideMark/>
          </w:tcPr>
          <w:p w:rsidR="0088797F" w:rsidRPr="009F260C" w:rsidRDefault="0088797F" w:rsidP="009F260C">
            <w:pPr>
              <w:jc w:val="center"/>
              <w:rPr>
                <w:rFonts w:ascii="Garamond" w:hAnsi="Garamond"/>
                <w:color w:val="000000"/>
              </w:rPr>
            </w:pPr>
            <w:r w:rsidRPr="009F260C">
              <w:rPr>
                <w:rFonts w:ascii="Garamond" w:hAnsi="Garamond"/>
                <w:color w:val="000000"/>
              </w:rPr>
              <w:t>408</w:t>
            </w:r>
          </w:p>
        </w:tc>
        <w:tc>
          <w:tcPr>
            <w:tcW w:w="592" w:type="pct"/>
            <w:tcBorders>
              <w:top w:val="single" w:sz="4" w:space="0" w:color="auto"/>
              <w:left w:val="nil"/>
              <w:bottom w:val="double" w:sz="4" w:space="0" w:color="auto"/>
              <w:right w:val="nil"/>
            </w:tcBorders>
            <w:shd w:val="clear" w:color="auto" w:fill="auto"/>
            <w:noWrap/>
            <w:hideMark/>
          </w:tcPr>
          <w:p w:rsidR="0088797F" w:rsidRPr="009F260C" w:rsidRDefault="0088797F" w:rsidP="009F260C">
            <w:pPr>
              <w:jc w:val="center"/>
              <w:rPr>
                <w:rFonts w:ascii="Garamond" w:hAnsi="Garamond"/>
                <w:color w:val="000000"/>
              </w:rPr>
            </w:pPr>
            <w:r w:rsidRPr="009F260C">
              <w:rPr>
                <w:rFonts w:ascii="Garamond" w:hAnsi="Garamond"/>
                <w:color w:val="000000"/>
              </w:rPr>
              <w:t>408</w:t>
            </w:r>
          </w:p>
        </w:tc>
        <w:tc>
          <w:tcPr>
            <w:tcW w:w="590" w:type="pct"/>
            <w:tcBorders>
              <w:top w:val="single" w:sz="4" w:space="0" w:color="auto"/>
              <w:left w:val="nil"/>
              <w:bottom w:val="double" w:sz="4" w:space="0" w:color="auto"/>
              <w:right w:val="nil"/>
            </w:tcBorders>
            <w:shd w:val="clear" w:color="auto" w:fill="auto"/>
            <w:noWrap/>
            <w:hideMark/>
          </w:tcPr>
          <w:p w:rsidR="0088797F" w:rsidRPr="009F260C" w:rsidRDefault="0088797F" w:rsidP="009F260C">
            <w:pPr>
              <w:jc w:val="center"/>
              <w:rPr>
                <w:rFonts w:ascii="Garamond" w:hAnsi="Garamond"/>
                <w:color w:val="000000"/>
              </w:rPr>
            </w:pPr>
            <w:r w:rsidRPr="009F260C">
              <w:rPr>
                <w:rFonts w:ascii="Garamond" w:hAnsi="Garamond"/>
                <w:color w:val="000000"/>
              </w:rPr>
              <w:t>408</w:t>
            </w:r>
          </w:p>
        </w:tc>
        <w:tc>
          <w:tcPr>
            <w:tcW w:w="640" w:type="pct"/>
            <w:tcBorders>
              <w:top w:val="single" w:sz="4" w:space="0" w:color="auto"/>
              <w:left w:val="single" w:sz="4" w:space="0" w:color="auto"/>
              <w:bottom w:val="double" w:sz="4" w:space="0" w:color="auto"/>
              <w:right w:val="nil"/>
            </w:tcBorders>
            <w:shd w:val="clear" w:color="auto" w:fill="auto"/>
            <w:noWrap/>
            <w:hideMark/>
          </w:tcPr>
          <w:p w:rsidR="0088797F" w:rsidRPr="009F260C" w:rsidRDefault="009F260C" w:rsidP="009F260C">
            <w:pPr>
              <w:jc w:val="center"/>
              <w:rPr>
                <w:rFonts w:ascii="Garamond" w:hAnsi="Garamond"/>
                <w:color w:val="000000"/>
              </w:rPr>
            </w:pPr>
            <w:r w:rsidRPr="009F260C">
              <w:rPr>
                <w:rFonts w:ascii="Garamond" w:hAnsi="Garamond"/>
                <w:color w:val="000000"/>
              </w:rPr>
              <w:t>408</w:t>
            </w:r>
          </w:p>
        </w:tc>
      </w:tr>
    </w:tbl>
    <w:p w:rsidR="0088797F" w:rsidRPr="00977958" w:rsidRDefault="0088797F" w:rsidP="00E83CD4">
      <w:pPr>
        <w:ind w:left="142"/>
        <w:jc w:val="both"/>
        <w:rPr>
          <w:rFonts w:ascii="Garamond" w:hAnsi="Garamond"/>
          <w:sz w:val="24"/>
          <w:szCs w:val="24"/>
        </w:rPr>
      </w:pPr>
      <w:r w:rsidRPr="00977958">
        <w:rPr>
          <w:rFonts w:ascii="Garamond" w:hAnsi="Garamond" w:cs="Times New Roman"/>
          <w:szCs w:val="20"/>
        </w:rPr>
        <w:t>Note: Robust standard errors are computed and t-statistics are reported within parentheses.</w:t>
      </w:r>
      <w:r w:rsidRPr="00977958">
        <w:rPr>
          <w:rFonts w:ascii="Garamond" w:hAnsi="Garamond"/>
          <w:szCs w:val="20"/>
          <w:lang w:val="en-US"/>
        </w:rPr>
        <w:t xml:space="preserve"> ***</w:t>
      </w:r>
      <w:r w:rsidRPr="00977958">
        <w:rPr>
          <w:rFonts w:ascii="Garamond" w:hAnsi="Garamond"/>
          <w:i/>
          <w:iCs/>
          <w:szCs w:val="20"/>
          <w:lang w:val="en-US"/>
        </w:rPr>
        <w:t>p</w:t>
      </w:r>
      <w:r w:rsidRPr="00977958">
        <w:rPr>
          <w:rFonts w:ascii="Garamond" w:hAnsi="Garamond"/>
          <w:szCs w:val="20"/>
          <w:lang w:val="en-US"/>
        </w:rPr>
        <w:t xml:space="preserve">&lt;0.01; </w:t>
      </w:r>
      <w:r w:rsidRPr="00977958">
        <w:rPr>
          <w:rFonts w:ascii="Garamond" w:hAnsi="Garamond"/>
          <w:i/>
          <w:szCs w:val="20"/>
          <w:lang w:val="en-US"/>
        </w:rPr>
        <w:t>**</w:t>
      </w:r>
      <w:r w:rsidRPr="00977958">
        <w:rPr>
          <w:rFonts w:ascii="Garamond" w:hAnsi="Garamond"/>
          <w:i/>
          <w:iCs/>
          <w:szCs w:val="20"/>
          <w:lang w:val="en-US"/>
        </w:rPr>
        <w:t>p</w:t>
      </w:r>
      <w:r w:rsidRPr="00977958">
        <w:rPr>
          <w:rFonts w:ascii="Garamond" w:hAnsi="Garamond"/>
          <w:szCs w:val="20"/>
          <w:lang w:val="en-US"/>
        </w:rPr>
        <w:t>&lt;0.05; *</w:t>
      </w:r>
      <w:r w:rsidRPr="00977958">
        <w:rPr>
          <w:rFonts w:ascii="Garamond" w:hAnsi="Garamond"/>
          <w:i/>
          <w:szCs w:val="20"/>
          <w:lang w:val="en-US"/>
        </w:rPr>
        <w:t>p</w:t>
      </w:r>
      <w:r w:rsidRPr="00977958">
        <w:rPr>
          <w:rFonts w:ascii="Garamond" w:hAnsi="Garamond"/>
          <w:szCs w:val="20"/>
          <w:lang w:val="en-US"/>
        </w:rPr>
        <w:t>&lt;0.1.</w:t>
      </w:r>
      <w:r w:rsidRPr="00977958">
        <w:rPr>
          <w:rFonts w:ascii="Garamond" w:hAnsi="Garamond"/>
          <w:sz w:val="24"/>
          <w:szCs w:val="24"/>
        </w:rPr>
        <w:br w:type="page"/>
      </w:r>
    </w:p>
    <w:p w:rsidR="001C379C" w:rsidRPr="00977958" w:rsidRDefault="001C379C">
      <w:pPr>
        <w:rPr>
          <w:rFonts w:ascii="Garamond" w:hAnsi="Garamond"/>
          <w:sz w:val="24"/>
          <w:szCs w:val="24"/>
        </w:rPr>
        <w:sectPr w:rsidR="001C379C" w:rsidRPr="00977958" w:rsidSect="00BE4B79">
          <w:pgSz w:w="16838" w:h="11906" w:orient="landscape"/>
          <w:pgMar w:top="1077" w:right="1440" w:bottom="1077" w:left="1440" w:header="709" w:footer="709" w:gutter="0"/>
          <w:cols w:space="708"/>
          <w:docGrid w:linePitch="360"/>
        </w:sectPr>
      </w:pPr>
    </w:p>
    <w:p w:rsidR="001C379C" w:rsidRPr="00977958" w:rsidRDefault="001C379C" w:rsidP="001C379C">
      <w:pPr>
        <w:pStyle w:val="NoSpacing"/>
        <w:spacing w:line="360" w:lineRule="auto"/>
        <w:jc w:val="both"/>
        <w:rPr>
          <w:rFonts w:ascii="Garamond" w:hAnsi="Garamond"/>
          <w:b/>
          <w:sz w:val="24"/>
          <w:szCs w:val="24"/>
        </w:rPr>
      </w:pPr>
      <w:r w:rsidRPr="00977958">
        <w:rPr>
          <w:rFonts w:ascii="Garamond" w:hAnsi="Garamond"/>
          <w:b/>
          <w:sz w:val="24"/>
          <w:szCs w:val="24"/>
        </w:rPr>
        <w:lastRenderedPageBreak/>
        <w:t>CONCLUDING REMARKS</w:t>
      </w:r>
    </w:p>
    <w:p w:rsidR="001C379C" w:rsidRPr="00977958" w:rsidRDefault="001C379C" w:rsidP="001C379C">
      <w:pPr>
        <w:pStyle w:val="PlainText"/>
        <w:spacing w:line="360" w:lineRule="auto"/>
        <w:jc w:val="both"/>
        <w:rPr>
          <w:rFonts w:ascii="Garamond" w:eastAsia="KaiTi" w:hAnsi="Garamond" w:cs="Times New Roman"/>
          <w:szCs w:val="24"/>
        </w:rPr>
      </w:pPr>
      <w:r w:rsidRPr="00977958">
        <w:rPr>
          <w:rFonts w:ascii="Garamond" w:hAnsi="Garamond" w:cs="Times New Roman"/>
          <w:szCs w:val="24"/>
        </w:rPr>
        <w:t xml:space="preserve">In the last decade, there has been a growing body of work investigating the scale and determinants of cross-border real estate investment flows. Whilst market participants often presume a positive effect on prices due to the presence of foreign buyers, there has been no empirical investigation. </w:t>
      </w:r>
      <w:r w:rsidRPr="00977958">
        <w:rPr>
          <w:rFonts w:ascii="Garamond" w:eastAsia="KaiTi" w:hAnsi="Garamond" w:cs="Times New Roman"/>
          <w:szCs w:val="24"/>
        </w:rPr>
        <w:t xml:space="preserve">Whilst there are some </w:t>
      </w:r>
      <w:r w:rsidRPr="00977958">
        <w:rPr>
          <w:rFonts w:ascii="Garamond" w:eastAsia="KaiTi" w:hAnsi="Garamond" w:cs="Times New Roman"/>
          <w:i/>
          <w:szCs w:val="24"/>
        </w:rPr>
        <w:t>a priori</w:t>
      </w:r>
      <w:r w:rsidRPr="00977958">
        <w:rPr>
          <w:rFonts w:ascii="Garamond" w:eastAsia="KaiTi" w:hAnsi="Garamond" w:cs="Times New Roman"/>
          <w:szCs w:val="24"/>
        </w:rPr>
        <w:t xml:space="preserve"> grounds to expect that internationally diversified investors may have lower risk premiums than local investors, the empirical evidence has been relatively sparse in this respect. Broadly, it suggests that foreign investors tend to focus on large, ‘recognised’ </w:t>
      </w:r>
      <w:r w:rsidR="0061323D" w:rsidRPr="00977958">
        <w:rPr>
          <w:rFonts w:ascii="Garamond" w:eastAsia="KaiTi" w:hAnsi="Garamond" w:cs="Times New Roman"/>
          <w:szCs w:val="24"/>
        </w:rPr>
        <w:t xml:space="preserve">assets </w:t>
      </w:r>
      <w:r w:rsidRPr="00977958">
        <w:rPr>
          <w:rFonts w:ascii="Garamond" w:eastAsia="KaiTi" w:hAnsi="Garamond" w:cs="Times New Roman"/>
          <w:szCs w:val="24"/>
        </w:rPr>
        <w:t>and that there is a positive effect of foreign investment on prices.</w:t>
      </w:r>
    </w:p>
    <w:p w:rsidR="001C379C" w:rsidRPr="00977958" w:rsidRDefault="001C379C" w:rsidP="001C379C">
      <w:pPr>
        <w:pStyle w:val="PlainText"/>
        <w:spacing w:line="360" w:lineRule="auto"/>
        <w:jc w:val="both"/>
        <w:rPr>
          <w:rFonts w:ascii="Garamond" w:eastAsia="KaiTi" w:hAnsi="Garamond" w:cs="Times New Roman"/>
          <w:szCs w:val="24"/>
        </w:rPr>
      </w:pPr>
    </w:p>
    <w:p w:rsidR="001C379C" w:rsidRPr="00977958" w:rsidRDefault="001C379C" w:rsidP="001C379C">
      <w:pPr>
        <w:pStyle w:val="PlainText"/>
        <w:spacing w:line="360" w:lineRule="auto"/>
        <w:jc w:val="both"/>
        <w:rPr>
          <w:rFonts w:ascii="Garamond" w:hAnsi="Garamond"/>
          <w:szCs w:val="24"/>
        </w:rPr>
      </w:pPr>
      <w:r w:rsidRPr="00977958">
        <w:rPr>
          <w:rFonts w:ascii="Garamond" w:eastAsia="KaiTi" w:hAnsi="Garamond" w:cs="Times New Roman"/>
          <w:szCs w:val="24"/>
        </w:rPr>
        <w:t xml:space="preserve">In addition, there are methodological challenges in isolating the effect of foreign investment on capitalization rates. The key issue is that both foreign investment levels and capitalization rates are likely to be jointly determined by interdependent variables such as real estate market maturity and transparency, economic vitality and market risk. In this paper, we counteract these problems by modelling the determinants of the variance in capitalization rates that is not explained by ‘standard’ variables such as risk free rates and rental growth expectations. Using orthogonalization procedures to identify and isolate the ‘pure’ effects of potential determinants of variance in capitalization rates unexplained by the standard variables, we find that there is a statistically significant negative effect of foreign investment on capitalization rates. Put simply, when controls are introduced to </w:t>
      </w:r>
      <w:r w:rsidR="00EB5348" w:rsidRPr="00977958">
        <w:rPr>
          <w:rFonts w:ascii="Garamond" w:eastAsia="KaiTi" w:hAnsi="Garamond" w:cs="Times New Roman"/>
          <w:szCs w:val="24"/>
        </w:rPr>
        <w:t>account</w:t>
      </w:r>
      <w:r w:rsidRPr="00977958">
        <w:rPr>
          <w:rFonts w:ascii="Garamond" w:eastAsia="KaiTi" w:hAnsi="Garamond" w:cs="Times New Roman"/>
          <w:szCs w:val="24"/>
        </w:rPr>
        <w:t xml:space="preserve"> for the expectation that cities with low capitalization rates and </w:t>
      </w:r>
      <w:r w:rsidRPr="00977958">
        <w:rPr>
          <w:rFonts w:ascii="Garamond" w:eastAsia="KaiTi" w:hAnsi="Garamond" w:cs="Times New Roman"/>
          <w:i/>
          <w:szCs w:val="24"/>
        </w:rPr>
        <w:t>high levels of foreign investment</w:t>
      </w:r>
      <w:r w:rsidRPr="00977958">
        <w:rPr>
          <w:rFonts w:ascii="Garamond" w:eastAsia="KaiTi" w:hAnsi="Garamond" w:cs="Times New Roman"/>
          <w:szCs w:val="24"/>
        </w:rPr>
        <w:t xml:space="preserve"> are likely to be in the mature real estate markets of the most economically </w:t>
      </w:r>
      <w:r w:rsidR="00EB5348" w:rsidRPr="00977958">
        <w:rPr>
          <w:rFonts w:ascii="Garamond" w:eastAsia="KaiTi" w:hAnsi="Garamond" w:cs="Times New Roman"/>
          <w:szCs w:val="24"/>
        </w:rPr>
        <w:t>significant US</w:t>
      </w:r>
      <w:r w:rsidRPr="00977958">
        <w:rPr>
          <w:rFonts w:ascii="Garamond" w:eastAsia="KaiTi" w:hAnsi="Garamond" w:cs="Times New Roman"/>
          <w:szCs w:val="24"/>
        </w:rPr>
        <w:t xml:space="preserve"> cities, the finding of a negative effect of foreign investment on capitalization rates remains robust.</w:t>
      </w:r>
      <w:r w:rsidRPr="00977958">
        <w:rPr>
          <w:rFonts w:ascii="Garamond" w:hAnsi="Garamond"/>
          <w:szCs w:val="24"/>
        </w:rPr>
        <w:t xml:space="preserve">  </w:t>
      </w:r>
    </w:p>
    <w:p w:rsidR="007341DA" w:rsidRPr="00977958" w:rsidRDefault="007341DA" w:rsidP="001C379C">
      <w:pPr>
        <w:jc w:val="both"/>
        <w:rPr>
          <w:rFonts w:ascii="Garamond" w:hAnsi="Garamond"/>
          <w:b/>
          <w:noProof/>
          <w:sz w:val="24"/>
        </w:rPr>
      </w:pPr>
    </w:p>
    <w:p w:rsidR="00C1409C" w:rsidRPr="00977958" w:rsidRDefault="007341DA" w:rsidP="00C1409C">
      <w:pPr>
        <w:spacing w:line="360" w:lineRule="auto"/>
        <w:jc w:val="both"/>
        <w:rPr>
          <w:rFonts w:ascii="Garamond" w:hAnsi="Garamond"/>
          <w:noProof/>
          <w:sz w:val="24"/>
        </w:rPr>
      </w:pPr>
      <w:r w:rsidRPr="00977958">
        <w:rPr>
          <w:rFonts w:ascii="Garamond" w:hAnsi="Garamond"/>
          <w:noProof/>
          <w:sz w:val="24"/>
        </w:rPr>
        <w:t xml:space="preserve">Clearly, the transmission of demand from foreign investors to real estate prices is likely to be complex.  This first attempt to address the question </w:t>
      </w:r>
      <w:r w:rsidR="00C1409C" w:rsidRPr="00977958">
        <w:rPr>
          <w:rFonts w:ascii="Garamond" w:hAnsi="Garamond"/>
          <w:noProof/>
          <w:sz w:val="24"/>
        </w:rPr>
        <w:t xml:space="preserve">has </w:t>
      </w:r>
      <w:r w:rsidRPr="00977958">
        <w:rPr>
          <w:rFonts w:ascii="Garamond" w:hAnsi="Garamond"/>
          <w:noProof/>
          <w:sz w:val="24"/>
        </w:rPr>
        <w:t>raise</w:t>
      </w:r>
      <w:r w:rsidR="00C1409C" w:rsidRPr="00977958">
        <w:rPr>
          <w:rFonts w:ascii="Garamond" w:hAnsi="Garamond"/>
          <w:noProof/>
          <w:sz w:val="24"/>
        </w:rPr>
        <w:t>d</w:t>
      </w:r>
      <w:r w:rsidRPr="00977958">
        <w:rPr>
          <w:rFonts w:ascii="Garamond" w:hAnsi="Garamond"/>
          <w:noProof/>
          <w:sz w:val="24"/>
        </w:rPr>
        <w:t xml:space="preserve"> </w:t>
      </w:r>
      <w:r w:rsidR="00C1409C" w:rsidRPr="00977958">
        <w:rPr>
          <w:rFonts w:ascii="Garamond" w:hAnsi="Garamond"/>
          <w:noProof/>
          <w:sz w:val="24"/>
        </w:rPr>
        <w:t xml:space="preserve">numerous further questions.  </w:t>
      </w:r>
      <w:r w:rsidR="00C22A4D" w:rsidRPr="00977958">
        <w:rPr>
          <w:rFonts w:ascii="Garamond" w:hAnsi="Garamond"/>
          <w:noProof/>
          <w:sz w:val="24"/>
        </w:rPr>
        <w:t>Given that the US h</w:t>
      </w:r>
      <w:r w:rsidR="00C1409C" w:rsidRPr="00977958">
        <w:rPr>
          <w:rFonts w:ascii="Garamond" w:hAnsi="Garamond"/>
          <w:noProof/>
          <w:sz w:val="24"/>
        </w:rPr>
        <w:t>as been a net exporter of real estate capital flows, to what extent is foreign investment producing net increases in capital flows</w:t>
      </w:r>
      <w:r w:rsidR="00C22A4D" w:rsidRPr="00977958">
        <w:rPr>
          <w:rFonts w:ascii="Garamond" w:hAnsi="Garamond"/>
          <w:noProof/>
          <w:sz w:val="24"/>
        </w:rPr>
        <w:t xml:space="preserve"> to office investment</w:t>
      </w:r>
      <w:r w:rsidR="00C1409C" w:rsidRPr="00977958">
        <w:rPr>
          <w:rFonts w:ascii="Garamond" w:hAnsi="Garamond"/>
          <w:noProof/>
          <w:sz w:val="24"/>
        </w:rPr>
        <w:t xml:space="preserve">?  Anecdotal evidence suggests that foreign investors  tend to invest in premium real estate locations and assets. </w:t>
      </w:r>
      <w:r w:rsidR="00A046D1" w:rsidRPr="00977958">
        <w:rPr>
          <w:rFonts w:ascii="Garamond" w:hAnsi="Garamond"/>
          <w:noProof/>
          <w:sz w:val="24"/>
        </w:rPr>
        <w:t xml:space="preserve">However, we know very little about the range of types of foreign investors and it is reasonable to infer that there would be variations in foreign investors’ risk preference and investment strategies. Such variation may lead to different levels of price effects. </w:t>
      </w:r>
      <w:r w:rsidR="00C1409C" w:rsidRPr="00977958">
        <w:rPr>
          <w:rFonts w:ascii="Garamond" w:hAnsi="Garamond"/>
          <w:noProof/>
          <w:sz w:val="24"/>
        </w:rPr>
        <w:t xml:space="preserve">Are price effects being felt only in specific markets and is segmentation </w:t>
      </w:r>
      <w:r w:rsidR="00C22A4D" w:rsidRPr="00977958">
        <w:rPr>
          <w:rFonts w:ascii="Garamond" w:hAnsi="Garamond"/>
          <w:noProof/>
          <w:sz w:val="24"/>
        </w:rPr>
        <w:t>in</w:t>
      </w:r>
      <w:r w:rsidR="00C1409C" w:rsidRPr="00977958">
        <w:rPr>
          <w:rFonts w:ascii="Garamond" w:hAnsi="Garamond"/>
          <w:noProof/>
          <w:sz w:val="24"/>
        </w:rPr>
        <w:t xml:space="preserve"> the office investment market increasing?  </w:t>
      </w:r>
      <w:r w:rsidR="00C22A4D" w:rsidRPr="00977958">
        <w:rPr>
          <w:rFonts w:ascii="Garamond" w:hAnsi="Garamond"/>
          <w:noProof/>
          <w:sz w:val="24"/>
        </w:rPr>
        <w:t xml:space="preserve">To what extent are such clientele effects likely to be temporary or persistent?  </w:t>
      </w:r>
      <w:r w:rsidR="00C1409C" w:rsidRPr="00977958">
        <w:rPr>
          <w:rFonts w:ascii="Garamond" w:hAnsi="Garamond"/>
          <w:noProof/>
          <w:sz w:val="24"/>
        </w:rPr>
        <w:t xml:space="preserve">In an increasingly globalized investment market, </w:t>
      </w:r>
      <w:r w:rsidR="00C22A4D" w:rsidRPr="00977958">
        <w:rPr>
          <w:rFonts w:ascii="Garamond" w:hAnsi="Garamond"/>
          <w:noProof/>
          <w:sz w:val="24"/>
        </w:rPr>
        <w:t>there are major taxonomic challenges. D</w:t>
      </w:r>
      <w:r w:rsidR="00C1409C" w:rsidRPr="00977958">
        <w:rPr>
          <w:rFonts w:ascii="Garamond" w:hAnsi="Garamond"/>
          <w:noProof/>
          <w:sz w:val="24"/>
        </w:rPr>
        <w:t xml:space="preserve">oes it make sense to categorize </w:t>
      </w:r>
      <w:r w:rsidR="00C22A4D" w:rsidRPr="00977958">
        <w:rPr>
          <w:rFonts w:ascii="Garamond" w:hAnsi="Garamond"/>
          <w:noProof/>
          <w:sz w:val="24"/>
        </w:rPr>
        <w:t xml:space="preserve">global investment </w:t>
      </w:r>
      <w:r w:rsidR="00C1409C" w:rsidRPr="00977958">
        <w:rPr>
          <w:rFonts w:ascii="Garamond" w:hAnsi="Garamond"/>
          <w:noProof/>
          <w:sz w:val="24"/>
        </w:rPr>
        <w:t xml:space="preserve">organizations with a local presence employing local personnel with </w:t>
      </w:r>
      <w:r w:rsidR="00C1409C" w:rsidRPr="00977958">
        <w:rPr>
          <w:rFonts w:ascii="Garamond" w:hAnsi="Garamond"/>
          <w:noProof/>
          <w:sz w:val="24"/>
        </w:rPr>
        <w:lastRenderedPageBreak/>
        <w:t>in-depth local knowledge and experience as foreign</w:t>
      </w:r>
      <w:r w:rsidR="00C22A4D" w:rsidRPr="00977958">
        <w:rPr>
          <w:rFonts w:ascii="Garamond" w:hAnsi="Garamond"/>
          <w:noProof/>
          <w:sz w:val="24"/>
        </w:rPr>
        <w:t>?</w:t>
      </w:r>
      <w:r w:rsidR="00A046D1" w:rsidRPr="00977958">
        <w:rPr>
          <w:rFonts w:ascii="Garamond" w:hAnsi="Garamond"/>
          <w:noProof/>
          <w:sz w:val="24"/>
        </w:rPr>
        <w:t xml:space="preserve"> </w:t>
      </w:r>
      <w:r w:rsidR="00802CB0" w:rsidRPr="00977958">
        <w:rPr>
          <w:rFonts w:ascii="Garamond" w:hAnsi="Garamond"/>
          <w:noProof/>
          <w:sz w:val="24"/>
        </w:rPr>
        <w:t>Whilst there are major methodological and data challenges, t</w:t>
      </w:r>
      <w:r w:rsidR="00EB5348" w:rsidRPr="00977958">
        <w:rPr>
          <w:rFonts w:ascii="Garamond" w:hAnsi="Garamond"/>
          <w:noProof/>
          <w:sz w:val="24"/>
        </w:rPr>
        <w:t>his has been a first attempt in measuring the effects of foreign investment levels on local commercial real estate prices.</w:t>
      </w:r>
      <w:r w:rsidR="00802CB0" w:rsidRPr="00977958">
        <w:rPr>
          <w:rFonts w:ascii="Garamond" w:hAnsi="Garamond"/>
          <w:noProof/>
          <w:sz w:val="24"/>
        </w:rPr>
        <w:t xml:space="preserve"> Consistent with findings in other capital markets, we observe a positive and plausible effect on price levels. </w:t>
      </w:r>
    </w:p>
    <w:p w:rsidR="001C379C" w:rsidRPr="00977958" w:rsidRDefault="00C1409C" w:rsidP="001C379C">
      <w:pPr>
        <w:jc w:val="both"/>
        <w:rPr>
          <w:rFonts w:ascii="Garamond" w:hAnsi="Garamond"/>
          <w:b/>
          <w:noProof/>
          <w:sz w:val="24"/>
          <w:szCs w:val="24"/>
        </w:rPr>
      </w:pPr>
      <w:r w:rsidRPr="00977958">
        <w:rPr>
          <w:rFonts w:ascii="Garamond" w:hAnsi="Garamond"/>
          <w:noProof/>
          <w:sz w:val="24"/>
        </w:rPr>
        <w:t xml:space="preserve">  </w:t>
      </w:r>
      <w:r w:rsidR="007341DA" w:rsidRPr="00977958">
        <w:rPr>
          <w:rFonts w:ascii="Garamond" w:hAnsi="Garamond"/>
          <w:noProof/>
          <w:sz w:val="24"/>
        </w:rPr>
        <w:t xml:space="preserve">   </w:t>
      </w:r>
      <w:r w:rsidR="001C379C" w:rsidRPr="00977958">
        <w:rPr>
          <w:rFonts w:ascii="Garamond" w:hAnsi="Garamond"/>
          <w:b/>
          <w:noProof/>
          <w:sz w:val="24"/>
        </w:rPr>
        <w:br w:type="page"/>
      </w:r>
      <w:r w:rsidR="001C379C" w:rsidRPr="00977958">
        <w:rPr>
          <w:rFonts w:ascii="Garamond" w:hAnsi="Garamond"/>
          <w:b/>
          <w:noProof/>
          <w:sz w:val="24"/>
          <w:szCs w:val="24"/>
        </w:rPr>
        <w:lastRenderedPageBreak/>
        <w:t>REFERENCES</w:t>
      </w:r>
    </w:p>
    <w:p w:rsidR="001C379C" w:rsidRPr="00977958" w:rsidRDefault="001C379C" w:rsidP="001C379C">
      <w:pPr>
        <w:jc w:val="both"/>
        <w:rPr>
          <w:rFonts w:ascii="Garamond" w:hAnsi="Garamond"/>
          <w:noProof/>
          <w:sz w:val="24"/>
          <w:szCs w:val="24"/>
        </w:rPr>
      </w:pPr>
    </w:p>
    <w:p w:rsidR="001C379C" w:rsidRPr="00977958" w:rsidRDefault="001C379C" w:rsidP="001C379C">
      <w:pPr>
        <w:jc w:val="both"/>
        <w:rPr>
          <w:rFonts w:ascii="Garamond" w:hAnsi="Garamond"/>
          <w:noProof/>
          <w:sz w:val="24"/>
          <w:szCs w:val="24"/>
        </w:rPr>
      </w:pPr>
      <w:r w:rsidRPr="00977958">
        <w:rPr>
          <w:rFonts w:ascii="Garamond" w:hAnsi="Garamond"/>
          <w:noProof/>
          <w:sz w:val="24"/>
          <w:szCs w:val="24"/>
        </w:rPr>
        <w:t xml:space="preserve">Ambrose, B. and Nourse, H. (1993). Factors influencing capitalization rates. </w:t>
      </w:r>
      <w:r w:rsidRPr="00977958">
        <w:rPr>
          <w:rFonts w:ascii="Garamond" w:hAnsi="Garamond"/>
          <w:i/>
          <w:iCs/>
          <w:noProof/>
          <w:sz w:val="24"/>
          <w:szCs w:val="24"/>
        </w:rPr>
        <w:t>Journal of Real Estate Research</w:t>
      </w:r>
      <w:r w:rsidRPr="00977958">
        <w:rPr>
          <w:rFonts w:ascii="Garamond" w:hAnsi="Garamond"/>
          <w:noProof/>
          <w:sz w:val="24"/>
          <w:szCs w:val="24"/>
        </w:rPr>
        <w:t xml:space="preserve">, </w:t>
      </w:r>
      <w:r w:rsidRPr="00977958">
        <w:rPr>
          <w:rFonts w:ascii="Garamond" w:hAnsi="Garamond"/>
          <w:iCs/>
          <w:noProof/>
          <w:sz w:val="24"/>
          <w:szCs w:val="24"/>
        </w:rPr>
        <w:t>8</w:t>
      </w:r>
      <w:r w:rsidRPr="00977958">
        <w:rPr>
          <w:rFonts w:ascii="Garamond" w:hAnsi="Garamond"/>
          <w:noProof/>
          <w:sz w:val="24"/>
          <w:szCs w:val="24"/>
        </w:rPr>
        <w:t>(2), 221-237.</w:t>
      </w:r>
    </w:p>
    <w:p w:rsidR="001C379C" w:rsidRPr="00977958" w:rsidRDefault="001C379C" w:rsidP="001C379C">
      <w:pPr>
        <w:jc w:val="both"/>
        <w:rPr>
          <w:rFonts w:ascii="Garamond" w:hAnsi="Garamond"/>
          <w:noProof/>
          <w:sz w:val="24"/>
          <w:szCs w:val="24"/>
        </w:rPr>
      </w:pPr>
    </w:p>
    <w:p w:rsidR="001C379C" w:rsidRPr="00977958" w:rsidRDefault="001C379C" w:rsidP="001C379C">
      <w:pPr>
        <w:jc w:val="both"/>
        <w:rPr>
          <w:rFonts w:ascii="Garamond" w:hAnsi="Garamond"/>
          <w:sz w:val="24"/>
          <w:szCs w:val="24"/>
        </w:rPr>
      </w:pPr>
      <w:r w:rsidRPr="00977958">
        <w:rPr>
          <w:rFonts w:ascii="Garamond" w:hAnsi="Garamond"/>
          <w:sz w:val="24"/>
          <w:szCs w:val="24"/>
        </w:rPr>
        <w:t xml:space="preserve">Ball, M. (2002) The </w:t>
      </w:r>
      <w:r w:rsidR="000D186C" w:rsidRPr="00977958">
        <w:rPr>
          <w:rFonts w:ascii="Garamond" w:hAnsi="Garamond"/>
          <w:sz w:val="24"/>
          <w:szCs w:val="24"/>
        </w:rPr>
        <w:t>Organization</w:t>
      </w:r>
      <w:r w:rsidRPr="00977958">
        <w:rPr>
          <w:rFonts w:ascii="Garamond" w:hAnsi="Garamond"/>
          <w:sz w:val="24"/>
          <w:szCs w:val="24"/>
        </w:rPr>
        <w:t xml:space="preserve"> of Property Development Professionals and Practices, in Guy, S. and Henneberry, J. (eds) </w:t>
      </w:r>
      <w:r w:rsidRPr="00977958">
        <w:rPr>
          <w:rFonts w:ascii="Garamond" w:hAnsi="Garamond"/>
          <w:i/>
          <w:sz w:val="24"/>
          <w:szCs w:val="24"/>
        </w:rPr>
        <w:t>Development and Developers: Perspectives on Property</w:t>
      </w:r>
      <w:r w:rsidRPr="00977958">
        <w:rPr>
          <w:rFonts w:ascii="Garamond" w:hAnsi="Garamond"/>
          <w:sz w:val="24"/>
          <w:szCs w:val="24"/>
        </w:rPr>
        <w:t>, Oxford, Blackwell Publishing.</w:t>
      </w:r>
    </w:p>
    <w:p w:rsidR="001C379C" w:rsidRPr="00977958" w:rsidRDefault="001C379C" w:rsidP="001C379C">
      <w:pPr>
        <w:jc w:val="both"/>
        <w:rPr>
          <w:rFonts w:ascii="Garamond" w:hAnsi="Garamond"/>
          <w:sz w:val="24"/>
          <w:szCs w:val="24"/>
        </w:rPr>
      </w:pPr>
    </w:p>
    <w:p w:rsidR="001C379C" w:rsidRPr="00977958" w:rsidRDefault="001C379C" w:rsidP="001C379C">
      <w:pPr>
        <w:pStyle w:val="NoSpacing"/>
        <w:rPr>
          <w:rFonts w:ascii="Garamond" w:hAnsi="Garamond"/>
          <w:color w:val="000000" w:themeColor="text1"/>
          <w:sz w:val="24"/>
          <w:szCs w:val="24"/>
        </w:rPr>
      </w:pPr>
      <w:r w:rsidRPr="00977958">
        <w:rPr>
          <w:rFonts w:ascii="Garamond" w:hAnsi="Garamond"/>
          <w:color w:val="000000" w:themeColor="text1"/>
          <w:sz w:val="24"/>
          <w:szCs w:val="24"/>
        </w:rPr>
        <w:t xml:space="preserve">Bond, S. A., Karolyi, G. A., and Sanders, A. B. (2003) International real estate returns: a multifactor, multicountry approach. </w:t>
      </w:r>
      <w:r w:rsidRPr="00977958">
        <w:rPr>
          <w:rFonts w:ascii="Garamond" w:hAnsi="Garamond"/>
          <w:i/>
          <w:iCs/>
          <w:color w:val="000000" w:themeColor="text1"/>
          <w:sz w:val="24"/>
          <w:szCs w:val="24"/>
        </w:rPr>
        <w:t>Real Estate Economics</w:t>
      </w:r>
      <w:r w:rsidRPr="00977958">
        <w:rPr>
          <w:rFonts w:ascii="Garamond" w:hAnsi="Garamond"/>
          <w:color w:val="000000" w:themeColor="text1"/>
          <w:sz w:val="24"/>
          <w:szCs w:val="24"/>
        </w:rPr>
        <w:t xml:space="preserve">, </w:t>
      </w:r>
      <w:r w:rsidRPr="00977958">
        <w:rPr>
          <w:rFonts w:ascii="Garamond" w:hAnsi="Garamond"/>
          <w:iCs/>
          <w:color w:val="000000" w:themeColor="text1"/>
          <w:sz w:val="24"/>
          <w:szCs w:val="24"/>
        </w:rPr>
        <w:t>31:</w:t>
      </w:r>
      <w:r w:rsidRPr="00977958">
        <w:rPr>
          <w:rFonts w:ascii="Garamond" w:hAnsi="Garamond"/>
          <w:color w:val="000000" w:themeColor="text1"/>
          <w:sz w:val="24"/>
          <w:szCs w:val="24"/>
        </w:rPr>
        <w:t xml:space="preserve"> 481-500.</w:t>
      </w:r>
    </w:p>
    <w:p w:rsidR="001C379C" w:rsidRPr="00977958" w:rsidRDefault="001C379C" w:rsidP="001C379C">
      <w:pPr>
        <w:pStyle w:val="NoSpacing"/>
        <w:rPr>
          <w:rFonts w:ascii="Garamond" w:hAnsi="Garamond"/>
          <w:color w:val="000000" w:themeColor="text1"/>
          <w:sz w:val="24"/>
          <w:szCs w:val="24"/>
          <w:lang w:val="de-DE"/>
        </w:rPr>
      </w:pPr>
    </w:p>
    <w:p w:rsidR="001C379C" w:rsidRPr="00977958" w:rsidRDefault="001C379C" w:rsidP="001C379C">
      <w:pPr>
        <w:pStyle w:val="NoSpacing"/>
        <w:rPr>
          <w:rFonts w:ascii="Garamond" w:hAnsi="Garamond"/>
          <w:color w:val="000000" w:themeColor="text1"/>
          <w:sz w:val="24"/>
          <w:szCs w:val="24"/>
          <w:lang w:val="de-DE"/>
        </w:rPr>
      </w:pPr>
      <w:r w:rsidRPr="00977958">
        <w:rPr>
          <w:rFonts w:ascii="Garamond" w:hAnsi="Garamond"/>
          <w:color w:val="000000" w:themeColor="text1"/>
          <w:sz w:val="24"/>
          <w:szCs w:val="24"/>
        </w:rPr>
        <w:t xml:space="preserve">Brennan, M. J., and Cao, H. H. (1997). International portfolio investment flows. </w:t>
      </w:r>
      <w:r w:rsidRPr="00977958">
        <w:rPr>
          <w:rFonts w:ascii="Garamond" w:hAnsi="Garamond"/>
          <w:i/>
          <w:iCs/>
          <w:color w:val="000000" w:themeColor="text1"/>
          <w:sz w:val="24"/>
          <w:szCs w:val="24"/>
        </w:rPr>
        <w:t>The Journal of Finance</w:t>
      </w:r>
      <w:r w:rsidRPr="00977958">
        <w:rPr>
          <w:rFonts w:ascii="Garamond" w:hAnsi="Garamond"/>
          <w:color w:val="000000" w:themeColor="text1"/>
          <w:sz w:val="24"/>
          <w:szCs w:val="24"/>
        </w:rPr>
        <w:t xml:space="preserve">, </w:t>
      </w:r>
      <w:r w:rsidRPr="00977958">
        <w:rPr>
          <w:rFonts w:ascii="Garamond" w:hAnsi="Garamond"/>
          <w:iCs/>
          <w:color w:val="000000" w:themeColor="text1"/>
          <w:sz w:val="24"/>
          <w:szCs w:val="24"/>
        </w:rPr>
        <w:t>52</w:t>
      </w:r>
      <w:r w:rsidRPr="00977958">
        <w:rPr>
          <w:rFonts w:ascii="Garamond" w:hAnsi="Garamond"/>
          <w:color w:val="000000" w:themeColor="text1"/>
          <w:sz w:val="24"/>
          <w:szCs w:val="24"/>
        </w:rPr>
        <w:t>(5), 1851-1880.</w:t>
      </w:r>
    </w:p>
    <w:p w:rsidR="001C379C" w:rsidRPr="00977958" w:rsidRDefault="001C379C" w:rsidP="001C379C">
      <w:pPr>
        <w:pStyle w:val="NoSpacing"/>
        <w:rPr>
          <w:rFonts w:ascii="Garamond" w:hAnsi="Garamond"/>
          <w:color w:val="000000" w:themeColor="text1"/>
          <w:sz w:val="24"/>
          <w:szCs w:val="24"/>
          <w:lang w:val="de-DE"/>
        </w:rPr>
      </w:pPr>
    </w:p>
    <w:p w:rsidR="001C379C" w:rsidRPr="00977958" w:rsidRDefault="001C379C" w:rsidP="001C379C">
      <w:pPr>
        <w:pStyle w:val="NoSpacing"/>
        <w:rPr>
          <w:rFonts w:ascii="Garamond" w:hAnsi="Garamond"/>
          <w:color w:val="000000" w:themeColor="text1"/>
          <w:sz w:val="24"/>
          <w:szCs w:val="24"/>
        </w:rPr>
      </w:pPr>
      <w:r w:rsidRPr="00977958">
        <w:rPr>
          <w:rFonts w:ascii="Garamond" w:hAnsi="Garamond"/>
          <w:color w:val="000000" w:themeColor="text1"/>
          <w:sz w:val="24"/>
          <w:szCs w:val="24"/>
        </w:rPr>
        <w:t>Chen, J., Hudson-Wilson, S. and Nordby, N. (2004) Real estate pricing spreads and sensibilities:</w:t>
      </w:r>
    </w:p>
    <w:p w:rsidR="001C379C" w:rsidRPr="00977958" w:rsidRDefault="001C379C" w:rsidP="001C379C">
      <w:pPr>
        <w:pStyle w:val="NoSpacing"/>
        <w:rPr>
          <w:rFonts w:ascii="Garamond" w:hAnsi="Garamond"/>
          <w:color w:val="000000" w:themeColor="text1"/>
          <w:sz w:val="24"/>
          <w:szCs w:val="24"/>
          <w:lang w:val="de-DE"/>
        </w:rPr>
      </w:pPr>
      <w:r w:rsidRPr="00977958">
        <w:rPr>
          <w:rFonts w:ascii="Garamond" w:hAnsi="Garamond"/>
          <w:color w:val="000000" w:themeColor="text1"/>
          <w:sz w:val="24"/>
          <w:szCs w:val="24"/>
        </w:rPr>
        <w:t xml:space="preserve">why real estate pricing is rational, </w:t>
      </w:r>
      <w:r w:rsidRPr="00977958">
        <w:rPr>
          <w:rFonts w:ascii="Garamond" w:hAnsi="Garamond"/>
          <w:i/>
          <w:color w:val="000000" w:themeColor="text1"/>
          <w:sz w:val="24"/>
          <w:szCs w:val="24"/>
        </w:rPr>
        <w:t>Journal of Real Estate Portfolio Management</w:t>
      </w:r>
      <w:r w:rsidRPr="00977958">
        <w:rPr>
          <w:rFonts w:ascii="Garamond" w:hAnsi="Garamond"/>
          <w:color w:val="000000" w:themeColor="text1"/>
          <w:sz w:val="24"/>
          <w:szCs w:val="24"/>
        </w:rPr>
        <w:t>, 10, 1–22.</w:t>
      </w:r>
    </w:p>
    <w:p w:rsidR="001C379C" w:rsidRPr="00977958" w:rsidRDefault="001C379C" w:rsidP="001C379C">
      <w:pPr>
        <w:pStyle w:val="NoSpacing"/>
        <w:rPr>
          <w:rFonts w:ascii="Garamond" w:hAnsi="Garamond"/>
          <w:color w:val="000000" w:themeColor="text1"/>
          <w:sz w:val="24"/>
          <w:szCs w:val="24"/>
          <w:lang w:val="de-DE"/>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Chervachidze, S., Costello, J. and Wheaton, W. (2009). The secular and cyclic determinants of capitalization rates: the role of property fundamentals, macroeconomic factors and structural changes. </w:t>
      </w:r>
      <w:r w:rsidRPr="00977958">
        <w:rPr>
          <w:rFonts w:ascii="Garamond" w:hAnsi="Garamond"/>
          <w:i/>
          <w:sz w:val="24"/>
          <w:szCs w:val="24"/>
        </w:rPr>
        <w:t>The Journal of Portfolio Management</w:t>
      </w:r>
      <w:r w:rsidRPr="00977958">
        <w:rPr>
          <w:rFonts w:ascii="Garamond" w:hAnsi="Garamond"/>
          <w:sz w:val="24"/>
          <w:szCs w:val="24"/>
        </w:rPr>
        <w:t>, 35(5), 50-69.</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Chervachidze, S. and Wheaton, W. (2013). What Determined the Great Cap Rate Compression</w:t>
      </w: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of 2000–2007, and the Dramatic Reversal During the 2008–2009 Financial Crisis? </w:t>
      </w:r>
      <w:r w:rsidRPr="00977958">
        <w:rPr>
          <w:rFonts w:ascii="Garamond" w:hAnsi="Garamond"/>
          <w:i/>
          <w:iCs/>
          <w:color w:val="222222"/>
          <w:sz w:val="24"/>
          <w:szCs w:val="24"/>
        </w:rPr>
        <w:t xml:space="preserve">The Journal of Real Estate Finance and Economics </w:t>
      </w:r>
      <w:r w:rsidRPr="00977958">
        <w:rPr>
          <w:rFonts w:ascii="Garamond" w:hAnsi="Garamond"/>
          <w:sz w:val="24"/>
          <w:szCs w:val="24"/>
        </w:rPr>
        <w:t>46(2): 208-231.</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Chichernea, D., Miller, N., Fisher, J., Sklarz, M. and White, R. (2008). A cross-sectional analysis of cap rates by MSA. </w:t>
      </w:r>
      <w:r w:rsidRPr="00977958">
        <w:rPr>
          <w:rFonts w:ascii="Garamond" w:hAnsi="Garamond"/>
          <w:i/>
          <w:sz w:val="24"/>
          <w:szCs w:val="24"/>
        </w:rPr>
        <w:t>Journal of Real Estate Research</w:t>
      </w:r>
      <w:r w:rsidRPr="00977958">
        <w:rPr>
          <w:rFonts w:ascii="Garamond" w:hAnsi="Garamond"/>
          <w:sz w:val="24"/>
          <w:szCs w:val="24"/>
        </w:rPr>
        <w:t>, 30(3), 10-29.</w:t>
      </w:r>
    </w:p>
    <w:p w:rsidR="001C379C" w:rsidRPr="00977958" w:rsidRDefault="001C379C" w:rsidP="001C379C">
      <w:pPr>
        <w:pStyle w:val="NoSpacing"/>
        <w:rPr>
          <w:rFonts w:ascii="Garamond" w:hAnsi="Garamond"/>
          <w:color w:val="000000" w:themeColor="text1"/>
          <w:sz w:val="24"/>
          <w:szCs w:val="24"/>
        </w:rPr>
      </w:pPr>
    </w:p>
    <w:p w:rsidR="001C379C" w:rsidRPr="00977958" w:rsidRDefault="001C379C" w:rsidP="001C379C">
      <w:pPr>
        <w:pStyle w:val="NoSpacing"/>
        <w:rPr>
          <w:rFonts w:ascii="Garamond" w:hAnsi="Garamond"/>
          <w:color w:val="000000" w:themeColor="text1"/>
          <w:sz w:val="24"/>
          <w:szCs w:val="24"/>
        </w:rPr>
      </w:pPr>
      <w:r w:rsidRPr="00977958">
        <w:rPr>
          <w:rFonts w:ascii="Garamond" w:hAnsi="Garamond"/>
          <w:color w:val="000000" w:themeColor="text1"/>
          <w:sz w:val="24"/>
          <w:szCs w:val="24"/>
        </w:rPr>
        <w:t xml:space="preserve">Chen, L. W., Johnson, S. A., Lin, J. C., and Liu, Y. J. (2009). Information, sophistication, and foreign versus domestic investors’ performance. </w:t>
      </w:r>
      <w:r w:rsidRPr="00977958">
        <w:rPr>
          <w:rFonts w:ascii="Garamond" w:hAnsi="Garamond"/>
          <w:i/>
          <w:iCs/>
          <w:color w:val="000000" w:themeColor="text1"/>
          <w:sz w:val="24"/>
          <w:szCs w:val="24"/>
        </w:rPr>
        <w:t>Journal of Banking and Finance</w:t>
      </w:r>
      <w:r w:rsidRPr="00977958">
        <w:rPr>
          <w:rFonts w:ascii="Garamond" w:hAnsi="Garamond"/>
          <w:color w:val="000000" w:themeColor="text1"/>
          <w:sz w:val="24"/>
          <w:szCs w:val="24"/>
        </w:rPr>
        <w:t xml:space="preserve">, </w:t>
      </w:r>
      <w:r w:rsidRPr="00977958">
        <w:rPr>
          <w:rFonts w:ascii="Garamond" w:hAnsi="Garamond"/>
          <w:iCs/>
          <w:color w:val="000000" w:themeColor="text1"/>
          <w:sz w:val="24"/>
          <w:szCs w:val="24"/>
        </w:rPr>
        <w:t>33</w:t>
      </w:r>
      <w:r w:rsidRPr="00977958">
        <w:rPr>
          <w:rFonts w:ascii="Garamond" w:hAnsi="Garamond"/>
          <w:color w:val="000000" w:themeColor="text1"/>
          <w:sz w:val="24"/>
          <w:szCs w:val="24"/>
        </w:rPr>
        <w:t>(9), 1636-1651.</w:t>
      </w:r>
    </w:p>
    <w:p w:rsidR="001C379C" w:rsidRPr="00977958" w:rsidRDefault="001C379C" w:rsidP="001C379C">
      <w:pPr>
        <w:pStyle w:val="NoSpacing"/>
        <w:rPr>
          <w:rFonts w:ascii="Garamond" w:hAnsi="Garamond"/>
          <w:color w:val="000000" w:themeColor="text1"/>
          <w:sz w:val="24"/>
          <w:szCs w:val="24"/>
        </w:rPr>
      </w:pPr>
    </w:p>
    <w:p w:rsidR="001C379C" w:rsidRPr="00977958" w:rsidRDefault="001C379C" w:rsidP="001C379C">
      <w:pPr>
        <w:rPr>
          <w:rFonts w:ascii="Garamond" w:hAnsi="Garamond"/>
          <w:sz w:val="24"/>
          <w:szCs w:val="24"/>
        </w:rPr>
      </w:pPr>
      <w:r w:rsidRPr="00977958">
        <w:rPr>
          <w:rFonts w:ascii="Garamond" w:hAnsi="Garamond"/>
          <w:sz w:val="24"/>
          <w:szCs w:val="24"/>
        </w:rPr>
        <w:t xml:space="preserve">Dahlquist, M., and Robertsson, G. (2004). A note on foreigners’ trading and price effects across firms. </w:t>
      </w:r>
      <w:r w:rsidRPr="00977958">
        <w:rPr>
          <w:rFonts w:ascii="Garamond" w:hAnsi="Garamond"/>
          <w:i/>
          <w:iCs/>
          <w:sz w:val="24"/>
          <w:szCs w:val="24"/>
        </w:rPr>
        <w:t>Journal of Banking and Finance</w:t>
      </w:r>
      <w:r w:rsidRPr="00977958">
        <w:rPr>
          <w:rFonts w:ascii="Garamond" w:hAnsi="Garamond"/>
          <w:sz w:val="24"/>
          <w:szCs w:val="24"/>
        </w:rPr>
        <w:t xml:space="preserve">, </w:t>
      </w:r>
      <w:r w:rsidRPr="00977958">
        <w:rPr>
          <w:rFonts w:ascii="Garamond" w:hAnsi="Garamond"/>
          <w:i/>
          <w:iCs/>
          <w:sz w:val="24"/>
          <w:szCs w:val="24"/>
        </w:rPr>
        <w:t>28</w:t>
      </w:r>
      <w:r w:rsidRPr="00977958">
        <w:rPr>
          <w:rFonts w:ascii="Garamond" w:hAnsi="Garamond"/>
          <w:sz w:val="24"/>
          <w:szCs w:val="24"/>
        </w:rPr>
        <w:t>(3), 615-632.</w:t>
      </w:r>
    </w:p>
    <w:p w:rsidR="001C379C" w:rsidRPr="00977958" w:rsidRDefault="001C379C" w:rsidP="001C379C">
      <w:pPr>
        <w:rPr>
          <w:rFonts w:ascii="Garamond" w:hAnsi="Garamond"/>
          <w:sz w:val="24"/>
          <w:szCs w:val="24"/>
        </w:rPr>
      </w:pPr>
    </w:p>
    <w:p w:rsidR="001C379C" w:rsidRPr="00977958" w:rsidRDefault="001C379C" w:rsidP="001C379C">
      <w:pPr>
        <w:jc w:val="both"/>
        <w:rPr>
          <w:rFonts w:ascii="Garamond" w:hAnsi="Garamond"/>
          <w:sz w:val="24"/>
          <w:szCs w:val="24"/>
        </w:rPr>
      </w:pPr>
      <w:r w:rsidRPr="00977958">
        <w:rPr>
          <w:rFonts w:ascii="Garamond" w:hAnsi="Garamond"/>
          <w:sz w:val="24"/>
          <w:szCs w:val="24"/>
        </w:rPr>
        <w:t xml:space="preserve">D'Arcy, E. (2009) The evolution of institutional arrangements to support the internationalisation of real estate involvements: Some evidence from Europe, </w:t>
      </w:r>
      <w:r w:rsidRPr="00977958">
        <w:rPr>
          <w:rFonts w:ascii="Garamond" w:hAnsi="Garamond"/>
          <w:i/>
          <w:sz w:val="24"/>
          <w:szCs w:val="24"/>
        </w:rPr>
        <w:t>Journal of European Real Estate Research</w:t>
      </w:r>
      <w:r w:rsidRPr="00977958">
        <w:rPr>
          <w:rFonts w:ascii="Garamond" w:hAnsi="Garamond"/>
          <w:sz w:val="24"/>
          <w:szCs w:val="24"/>
        </w:rPr>
        <w:t>, 2: 280 – 293.</w:t>
      </w:r>
    </w:p>
    <w:p w:rsidR="001C379C" w:rsidRPr="00977958" w:rsidRDefault="001C379C" w:rsidP="001C379C">
      <w:pPr>
        <w:jc w:val="both"/>
        <w:rPr>
          <w:rFonts w:ascii="Garamond" w:hAnsi="Garamond"/>
          <w:sz w:val="24"/>
          <w:szCs w:val="24"/>
        </w:rPr>
      </w:pPr>
    </w:p>
    <w:p w:rsidR="001C379C" w:rsidRPr="00977958" w:rsidRDefault="001C379C" w:rsidP="001C379C">
      <w:pPr>
        <w:rPr>
          <w:rFonts w:ascii="Garamond" w:hAnsi="Garamond"/>
          <w:color w:val="222222"/>
          <w:sz w:val="24"/>
          <w:szCs w:val="24"/>
        </w:rPr>
      </w:pPr>
      <w:r w:rsidRPr="00977958">
        <w:rPr>
          <w:rFonts w:ascii="Garamond" w:hAnsi="Garamond"/>
          <w:color w:val="222222"/>
          <w:sz w:val="24"/>
          <w:szCs w:val="24"/>
        </w:rPr>
        <w:t xml:space="preserve">Dvořák, T. (2005). Do domestic investors have an information advantage? Evidence from Indonesia. </w:t>
      </w:r>
      <w:r w:rsidRPr="00977958">
        <w:rPr>
          <w:rFonts w:ascii="Garamond" w:hAnsi="Garamond"/>
          <w:i/>
          <w:iCs/>
          <w:color w:val="222222"/>
          <w:sz w:val="24"/>
          <w:szCs w:val="24"/>
        </w:rPr>
        <w:t>The Journal of Finance</w:t>
      </w:r>
      <w:r w:rsidRPr="00977958">
        <w:rPr>
          <w:rFonts w:ascii="Garamond" w:hAnsi="Garamond"/>
          <w:color w:val="222222"/>
          <w:sz w:val="24"/>
          <w:szCs w:val="24"/>
        </w:rPr>
        <w:t xml:space="preserve">, </w:t>
      </w:r>
      <w:r w:rsidRPr="00977958">
        <w:rPr>
          <w:rFonts w:ascii="Garamond" w:hAnsi="Garamond"/>
          <w:iCs/>
          <w:color w:val="222222"/>
          <w:sz w:val="24"/>
          <w:szCs w:val="24"/>
        </w:rPr>
        <w:t>60</w:t>
      </w:r>
      <w:r w:rsidRPr="00977958">
        <w:rPr>
          <w:rFonts w:ascii="Garamond" w:hAnsi="Garamond"/>
          <w:color w:val="222222"/>
          <w:sz w:val="24"/>
          <w:szCs w:val="24"/>
        </w:rPr>
        <w:t>(2), 817-839.</w:t>
      </w:r>
    </w:p>
    <w:p w:rsidR="001C379C" w:rsidRPr="00977958" w:rsidRDefault="001C379C" w:rsidP="001C379C">
      <w:pPr>
        <w:rPr>
          <w:rFonts w:ascii="Garamond" w:hAnsi="Garamond"/>
          <w:color w:val="222222"/>
          <w:sz w:val="24"/>
          <w:szCs w:val="24"/>
        </w:rPr>
      </w:pPr>
    </w:p>
    <w:p w:rsidR="001C379C" w:rsidRPr="00977958" w:rsidRDefault="001C379C" w:rsidP="001C379C">
      <w:pPr>
        <w:rPr>
          <w:rFonts w:ascii="Garamond" w:hAnsi="Garamond"/>
          <w:color w:val="222222"/>
          <w:sz w:val="24"/>
          <w:szCs w:val="24"/>
        </w:rPr>
      </w:pPr>
      <w:r w:rsidRPr="00977958">
        <w:rPr>
          <w:rFonts w:ascii="Garamond" w:hAnsi="Garamond"/>
          <w:color w:val="222222"/>
          <w:sz w:val="24"/>
          <w:szCs w:val="24"/>
        </w:rPr>
        <w:t xml:space="preserve">Eichholtz, P. M., Gugler, N. and Kok, N. (2011) Transparency, integration, and the cost of international real estate investments. </w:t>
      </w:r>
      <w:r w:rsidRPr="00977958">
        <w:rPr>
          <w:rFonts w:ascii="Garamond" w:hAnsi="Garamond"/>
          <w:i/>
          <w:iCs/>
          <w:color w:val="222222"/>
          <w:sz w:val="24"/>
          <w:szCs w:val="24"/>
        </w:rPr>
        <w:t>The Journal of Real Estate Finance and Economics</w:t>
      </w:r>
      <w:r w:rsidRPr="00977958">
        <w:rPr>
          <w:rFonts w:ascii="Garamond" w:hAnsi="Garamond"/>
          <w:color w:val="222222"/>
          <w:sz w:val="24"/>
          <w:szCs w:val="24"/>
        </w:rPr>
        <w:t xml:space="preserve">, </w:t>
      </w:r>
      <w:r w:rsidRPr="00977958">
        <w:rPr>
          <w:rFonts w:ascii="Garamond" w:hAnsi="Garamond"/>
          <w:iCs/>
          <w:color w:val="222222"/>
          <w:sz w:val="24"/>
          <w:szCs w:val="24"/>
        </w:rPr>
        <w:t>43</w:t>
      </w:r>
      <w:r w:rsidRPr="00977958">
        <w:rPr>
          <w:rFonts w:ascii="Garamond" w:hAnsi="Garamond"/>
          <w:color w:val="222222"/>
          <w:sz w:val="24"/>
          <w:szCs w:val="24"/>
        </w:rPr>
        <w:t>(1), 152-173.</w:t>
      </w:r>
    </w:p>
    <w:p w:rsidR="001C379C" w:rsidRPr="00977958" w:rsidRDefault="001C379C" w:rsidP="001C379C">
      <w:pPr>
        <w:pStyle w:val="NoSpacing"/>
        <w:rPr>
          <w:rFonts w:ascii="Garamond" w:hAnsi="Garamond"/>
          <w:color w:val="000000" w:themeColor="text1"/>
          <w:sz w:val="24"/>
          <w:szCs w:val="24"/>
        </w:rPr>
      </w:pPr>
    </w:p>
    <w:p w:rsidR="001C379C" w:rsidRPr="00977958" w:rsidRDefault="001C379C" w:rsidP="001C379C">
      <w:pPr>
        <w:pStyle w:val="NoSpacing"/>
        <w:rPr>
          <w:rFonts w:ascii="Garamond" w:hAnsi="Garamond"/>
          <w:color w:val="000000" w:themeColor="text1"/>
          <w:sz w:val="24"/>
          <w:szCs w:val="24"/>
        </w:rPr>
      </w:pPr>
      <w:r w:rsidRPr="00977958">
        <w:rPr>
          <w:rFonts w:ascii="Garamond" w:hAnsi="Garamond"/>
          <w:color w:val="000000" w:themeColor="text1"/>
          <w:sz w:val="24"/>
          <w:szCs w:val="24"/>
        </w:rPr>
        <w:t xml:space="preserve">Falkenback, H. (2009) Market Selection for International Real Estate Investments, </w:t>
      </w:r>
      <w:r w:rsidRPr="00977958">
        <w:rPr>
          <w:rFonts w:ascii="Garamond" w:hAnsi="Garamond"/>
          <w:i/>
          <w:color w:val="000000" w:themeColor="text1"/>
          <w:sz w:val="24"/>
          <w:szCs w:val="24"/>
        </w:rPr>
        <w:t xml:space="preserve">International Journal of Strategic Property Management, </w:t>
      </w:r>
      <w:r w:rsidRPr="00977958">
        <w:rPr>
          <w:rFonts w:ascii="Garamond" w:hAnsi="Garamond"/>
          <w:color w:val="000000" w:themeColor="text1"/>
          <w:sz w:val="24"/>
          <w:szCs w:val="24"/>
        </w:rPr>
        <w:t>13: 299–308.</w:t>
      </w:r>
    </w:p>
    <w:p w:rsidR="001C379C" w:rsidRPr="00977958" w:rsidRDefault="001C379C" w:rsidP="001C379C">
      <w:pPr>
        <w:jc w:val="both"/>
        <w:rPr>
          <w:rFonts w:ascii="Garamond" w:hAnsi="Garamond"/>
          <w:iCs/>
          <w:color w:val="403838"/>
          <w:sz w:val="24"/>
          <w:szCs w:val="24"/>
        </w:rPr>
      </w:pPr>
    </w:p>
    <w:p w:rsidR="001C379C" w:rsidRPr="00977958" w:rsidRDefault="001C379C" w:rsidP="001C379C">
      <w:pPr>
        <w:jc w:val="both"/>
        <w:rPr>
          <w:rFonts w:ascii="Garamond" w:hAnsi="Garamond"/>
          <w:iCs/>
          <w:color w:val="403838"/>
          <w:sz w:val="24"/>
          <w:szCs w:val="24"/>
        </w:rPr>
      </w:pPr>
      <w:r w:rsidRPr="00977958">
        <w:rPr>
          <w:rFonts w:ascii="Garamond" w:hAnsi="Garamond"/>
          <w:iCs/>
          <w:color w:val="403838"/>
          <w:sz w:val="24"/>
          <w:szCs w:val="24"/>
        </w:rPr>
        <w:t>Froot, K. A., and Ramadorai, T. (2001). The information content of international portfolio flows (No. w8472). National Bureau of Economic Research.</w:t>
      </w:r>
    </w:p>
    <w:p w:rsidR="00977958" w:rsidRPr="00977958" w:rsidRDefault="00977958" w:rsidP="001C379C">
      <w:pPr>
        <w:jc w:val="both"/>
        <w:rPr>
          <w:rFonts w:ascii="Garamond" w:hAnsi="Garamond"/>
          <w:iCs/>
          <w:color w:val="403838"/>
          <w:sz w:val="24"/>
          <w:szCs w:val="24"/>
        </w:rPr>
      </w:pPr>
    </w:p>
    <w:p w:rsidR="001C379C" w:rsidRPr="00977958" w:rsidRDefault="001C379C" w:rsidP="001C379C">
      <w:pPr>
        <w:jc w:val="both"/>
        <w:rPr>
          <w:rFonts w:ascii="Garamond" w:hAnsi="Garamond"/>
          <w:iCs/>
          <w:color w:val="403838"/>
          <w:sz w:val="24"/>
          <w:szCs w:val="24"/>
        </w:rPr>
      </w:pPr>
      <w:r w:rsidRPr="00977958">
        <w:rPr>
          <w:rFonts w:ascii="Garamond" w:hAnsi="Garamond"/>
          <w:iCs/>
          <w:color w:val="403838"/>
          <w:sz w:val="24"/>
          <w:szCs w:val="24"/>
        </w:rPr>
        <w:t xml:space="preserve">Gallant, A. R., Rossi, P. E., and Tauchen, G. (1992). Stock prices and volume. </w:t>
      </w:r>
      <w:r w:rsidRPr="00977958">
        <w:rPr>
          <w:rFonts w:ascii="Garamond" w:hAnsi="Garamond"/>
          <w:i/>
          <w:iCs/>
          <w:color w:val="403838"/>
          <w:sz w:val="24"/>
          <w:szCs w:val="24"/>
        </w:rPr>
        <w:t>Review of Financial studies</w:t>
      </w:r>
      <w:r w:rsidRPr="00977958">
        <w:rPr>
          <w:rFonts w:ascii="Garamond" w:hAnsi="Garamond"/>
          <w:iCs/>
          <w:color w:val="403838"/>
          <w:sz w:val="24"/>
          <w:szCs w:val="24"/>
        </w:rPr>
        <w:t>, 5(2), 199-242.</w:t>
      </w:r>
    </w:p>
    <w:p w:rsidR="001C379C" w:rsidRPr="00977958" w:rsidRDefault="001C379C" w:rsidP="001C379C">
      <w:pPr>
        <w:jc w:val="both"/>
        <w:rPr>
          <w:rStyle w:val="cit-lpage"/>
          <w:rFonts w:ascii="Garamond" w:hAnsi="Garamond"/>
          <w:iCs/>
          <w:color w:val="403838"/>
          <w:sz w:val="24"/>
          <w:szCs w:val="24"/>
          <w:lang w:val="en"/>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Grinblatt, M., and Keloharju, M. (2000). The investment behavior and performance of various investor types: a study of Finland's unique data set. </w:t>
      </w:r>
      <w:r w:rsidRPr="00977958">
        <w:rPr>
          <w:rFonts w:ascii="Garamond" w:hAnsi="Garamond"/>
          <w:i/>
          <w:iCs/>
          <w:sz w:val="24"/>
          <w:szCs w:val="24"/>
        </w:rPr>
        <w:t>Journal of Financial Economics</w:t>
      </w:r>
      <w:r w:rsidRPr="00977958">
        <w:rPr>
          <w:rFonts w:ascii="Garamond" w:hAnsi="Garamond"/>
          <w:sz w:val="24"/>
          <w:szCs w:val="24"/>
        </w:rPr>
        <w:t xml:space="preserve">, </w:t>
      </w:r>
      <w:r w:rsidRPr="00977958">
        <w:rPr>
          <w:rFonts w:ascii="Garamond" w:hAnsi="Garamond"/>
          <w:iCs/>
          <w:sz w:val="24"/>
          <w:szCs w:val="24"/>
        </w:rPr>
        <w:t>55</w:t>
      </w:r>
      <w:r w:rsidRPr="00977958">
        <w:rPr>
          <w:rFonts w:ascii="Garamond" w:hAnsi="Garamond"/>
          <w:sz w:val="24"/>
          <w:szCs w:val="24"/>
        </w:rPr>
        <w:t>(1), 43-67.</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Hardin III, W. G., and Wolverton, M.L. (1999). Equity REIT Property Acquisitions: Do Apartment REITs Pay a Premium? </w:t>
      </w:r>
      <w:r w:rsidRPr="00977958">
        <w:rPr>
          <w:rFonts w:ascii="Garamond" w:hAnsi="Garamond"/>
          <w:i/>
          <w:sz w:val="24"/>
          <w:szCs w:val="24"/>
        </w:rPr>
        <w:t>Journal of Real Estate Research</w:t>
      </w:r>
      <w:r w:rsidRPr="00977958">
        <w:rPr>
          <w:rFonts w:ascii="Garamond" w:hAnsi="Garamond"/>
          <w:sz w:val="24"/>
          <w:szCs w:val="24"/>
        </w:rPr>
        <w:t>, 17:1/2, 113-126.</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rPr>
          <w:rFonts w:ascii="Garamond" w:hAnsi="Garamond" w:cs="Times New Roman"/>
          <w:sz w:val="24"/>
          <w:szCs w:val="24"/>
        </w:rPr>
      </w:pPr>
      <w:r w:rsidRPr="00977958">
        <w:rPr>
          <w:rFonts w:ascii="Garamond" w:hAnsi="Garamond" w:cs="Times New Roman"/>
          <w:sz w:val="24"/>
          <w:szCs w:val="24"/>
        </w:rPr>
        <w:t xml:space="preserve">Hau, H. (2001) Location Matters: An Examination of Trading Profits. </w:t>
      </w:r>
      <w:r w:rsidRPr="00977958">
        <w:rPr>
          <w:rFonts w:ascii="Garamond" w:hAnsi="Garamond" w:cs="Times New Roman"/>
          <w:i/>
          <w:sz w:val="24"/>
          <w:szCs w:val="24"/>
        </w:rPr>
        <w:t>Journal of Finance</w:t>
      </w:r>
      <w:r w:rsidRPr="00977958">
        <w:rPr>
          <w:rFonts w:ascii="Garamond" w:hAnsi="Garamond" w:cs="Times New Roman"/>
          <w:sz w:val="24"/>
          <w:szCs w:val="24"/>
        </w:rPr>
        <w:t xml:space="preserve"> 56(5): 1959–1983.</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Hendershott, P.H. and MacGregor, B.D. (2005a), Investor rationality: evidence from UK property capitalization rates. </w:t>
      </w:r>
      <w:r w:rsidRPr="00977958">
        <w:rPr>
          <w:rFonts w:ascii="Garamond" w:hAnsi="Garamond"/>
          <w:i/>
          <w:sz w:val="24"/>
          <w:szCs w:val="24"/>
        </w:rPr>
        <w:t>Real Estate Economics</w:t>
      </w:r>
      <w:r w:rsidRPr="00977958">
        <w:rPr>
          <w:rFonts w:ascii="Garamond" w:hAnsi="Garamond"/>
          <w:sz w:val="24"/>
          <w:szCs w:val="24"/>
        </w:rPr>
        <w:t>, 26, 299-322.</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Hendershott, P.H. and MacGregor, B.D. (2005b), Investor rationality: An analysis of NCREIF commercial property data, </w:t>
      </w:r>
      <w:r w:rsidRPr="00977958">
        <w:rPr>
          <w:rFonts w:ascii="Garamond" w:hAnsi="Garamond"/>
          <w:i/>
          <w:sz w:val="24"/>
          <w:szCs w:val="24"/>
        </w:rPr>
        <w:t>Journal of Real Estate Research</w:t>
      </w:r>
      <w:r w:rsidRPr="00977958">
        <w:rPr>
          <w:rFonts w:ascii="Garamond" w:hAnsi="Garamond"/>
          <w:sz w:val="24"/>
          <w:szCs w:val="24"/>
        </w:rPr>
        <w:t>, 26, 10-29.</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Kalev, P. S., Nguyen, A. H., and Oh, N. Y. (2008). Foreign versus local investors: Who knows more? Who makes more?. </w:t>
      </w:r>
      <w:r w:rsidRPr="00977958">
        <w:rPr>
          <w:rFonts w:ascii="Garamond" w:hAnsi="Garamond"/>
          <w:i/>
          <w:iCs/>
          <w:sz w:val="24"/>
          <w:szCs w:val="24"/>
        </w:rPr>
        <w:t>Journal of Banking and Finance</w:t>
      </w:r>
      <w:r w:rsidRPr="00977958">
        <w:rPr>
          <w:rFonts w:ascii="Garamond" w:hAnsi="Garamond"/>
          <w:sz w:val="24"/>
          <w:szCs w:val="24"/>
        </w:rPr>
        <w:t xml:space="preserve">, </w:t>
      </w:r>
      <w:r w:rsidRPr="00977958">
        <w:rPr>
          <w:rFonts w:ascii="Garamond" w:hAnsi="Garamond"/>
          <w:i/>
          <w:iCs/>
          <w:sz w:val="24"/>
          <w:szCs w:val="24"/>
        </w:rPr>
        <w:t>32</w:t>
      </w:r>
      <w:r w:rsidRPr="00977958">
        <w:rPr>
          <w:rFonts w:ascii="Garamond" w:hAnsi="Garamond"/>
          <w:sz w:val="24"/>
          <w:szCs w:val="24"/>
        </w:rPr>
        <w:t>(11), 2376-2389.</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Kang, H. C., Lee, D. W., and Park, K. S. (2010). Does the difference in valuation between domestic and foreign investors help explain their distinct holdings of domestic stocks?. </w:t>
      </w:r>
      <w:r w:rsidRPr="00977958">
        <w:rPr>
          <w:rFonts w:ascii="Garamond" w:hAnsi="Garamond"/>
          <w:i/>
          <w:iCs/>
          <w:sz w:val="24"/>
          <w:szCs w:val="24"/>
        </w:rPr>
        <w:t>Journal of Banking and Finance</w:t>
      </w:r>
      <w:r w:rsidRPr="00977958">
        <w:rPr>
          <w:rFonts w:ascii="Garamond" w:hAnsi="Garamond"/>
          <w:sz w:val="24"/>
          <w:szCs w:val="24"/>
        </w:rPr>
        <w:t xml:space="preserve">, </w:t>
      </w:r>
      <w:r w:rsidRPr="00977958">
        <w:rPr>
          <w:rFonts w:ascii="Garamond" w:hAnsi="Garamond"/>
          <w:iCs/>
          <w:sz w:val="24"/>
          <w:szCs w:val="24"/>
        </w:rPr>
        <w:t>34</w:t>
      </w:r>
      <w:r w:rsidRPr="00977958">
        <w:rPr>
          <w:rFonts w:ascii="Garamond" w:hAnsi="Garamond"/>
          <w:sz w:val="24"/>
          <w:szCs w:val="24"/>
        </w:rPr>
        <w:t>(12), 2886-2896.</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Kang, J. and Stulz, R (1997)  Why is there a home bias? an analysis of foreign portfolio equity ownership in Japan, </w:t>
      </w:r>
      <w:r w:rsidRPr="00977958">
        <w:rPr>
          <w:rFonts w:ascii="Garamond" w:hAnsi="Garamond"/>
          <w:i/>
          <w:sz w:val="24"/>
          <w:szCs w:val="24"/>
        </w:rPr>
        <w:t xml:space="preserve"> Journal of Financial Economics</w:t>
      </w:r>
      <w:r w:rsidRPr="00977958">
        <w:rPr>
          <w:rFonts w:ascii="Garamond" w:hAnsi="Garamond"/>
          <w:sz w:val="24"/>
          <w:szCs w:val="24"/>
        </w:rPr>
        <w:t>, 46, 3–28.</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Karolyi, G. A. (2002). Did the Asian financial crisis scare foreign investors out of Japan?. </w:t>
      </w:r>
      <w:r w:rsidRPr="00977958">
        <w:rPr>
          <w:rFonts w:ascii="Garamond" w:hAnsi="Garamond"/>
          <w:i/>
          <w:iCs/>
          <w:sz w:val="24"/>
          <w:szCs w:val="24"/>
        </w:rPr>
        <w:t>Pacific-Basin Finance Journal</w:t>
      </w:r>
      <w:r w:rsidRPr="00977958">
        <w:rPr>
          <w:rFonts w:ascii="Garamond" w:hAnsi="Garamond"/>
          <w:sz w:val="24"/>
          <w:szCs w:val="24"/>
        </w:rPr>
        <w:t xml:space="preserve">, </w:t>
      </w:r>
      <w:r w:rsidRPr="00977958">
        <w:rPr>
          <w:rFonts w:ascii="Garamond" w:hAnsi="Garamond"/>
          <w:iCs/>
          <w:sz w:val="24"/>
          <w:szCs w:val="24"/>
        </w:rPr>
        <w:t>10</w:t>
      </w:r>
      <w:r w:rsidRPr="00977958">
        <w:rPr>
          <w:rFonts w:ascii="Garamond" w:hAnsi="Garamond"/>
          <w:sz w:val="24"/>
          <w:szCs w:val="24"/>
        </w:rPr>
        <w:t>(4), 411-442.</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Lambson, V.E., McQueen, G.R., Slade, B.A. (2004) Do Out-of-State Buyers Pay More for Real Estate? An Examination of Anchoring-Induced Bias and Search Costs, </w:t>
      </w:r>
      <w:r w:rsidRPr="00977958">
        <w:rPr>
          <w:rFonts w:ascii="Garamond" w:hAnsi="Garamond"/>
          <w:i/>
          <w:sz w:val="24"/>
          <w:szCs w:val="24"/>
        </w:rPr>
        <w:t xml:space="preserve">Real Estate Economics, </w:t>
      </w:r>
      <w:r w:rsidRPr="00977958">
        <w:rPr>
          <w:rFonts w:ascii="Garamond" w:hAnsi="Garamond"/>
          <w:sz w:val="24"/>
          <w:szCs w:val="24"/>
        </w:rPr>
        <w:t>32(1): 85–126.</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Ling, D. C., and Naranjo, A. (2002). Commercial real estate return performance: a cross-country analysis. </w:t>
      </w:r>
      <w:r w:rsidRPr="00977958">
        <w:rPr>
          <w:rFonts w:ascii="Garamond" w:hAnsi="Garamond"/>
          <w:i/>
          <w:iCs/>
          <w:sz w:val="24"/>
          <w:szCs w:val="24"/>
        </w:rPr>
        <w:t>The Journal of Real Estate Finance and Economics</w:t>
      </w:r>
      <w:r w:rsidRPr="00977958">
        <w:rPr>
          <w:rFonts w:ascii="Garamond" w:hAnsi="Garamond"/>
          <w:sz w:val="24"/>
          <w:szCs w:val="24"/>
        </w:rPr>
        <w:t xml:space="preserve">, </w:t>
      </w:r>
      <w:r w:rsidRPr="00977958">
        <w:rPr>
          <w:rFonts w:ascii="Garamond" w:hAnsi="Garamond"/>
          <w:iCs/>
          <w:sz w:val="24"/>
          <w:szCs w:val="24"/>
        </w:rPr>
        <w:t>24</w:t>
      </w:r>
      <w:r w:rsidRPr="00977958">
        <w:rPr>
          <w:rFonts w:ascii="Garamond" w:hAnsi="Garamond"/>
          <w:sz w:val="24"/>
          <w:szCs w:val="24"/>
        </w:rPr>
        <w:t>(1-2), 119-142.</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Ling, D.C. and Petrova, M. (2011). Why Do REITs Go Private? Differences in Target Characteristics, Acquirer Motivations, and Wealth Effects in Public and Private Acquisitions, </w:t>
      </w:r>
      <w:r w:rsidRPr="00977958">
        <w:rPr>
          <w:rFonts w:ascii="Garamond" w:hAnsi="Garamond"/>
          <w:i/>
          <w:sz w:val="24"/>
          <w:szCs w:val="24"/>
        </w:rPr>
        <w:t>Journal of Real Estate Finance and Economics</w:t>
      </w:r>
      <w:r w:rsidRPr="00977958">
        <w:rPr>
          <w:rFonts w:ascii="Garamond" w:hAnsi="Garamond"/>
          <w:sz w:val="24"/>
          <w:szCs w:val="24"/>
        </w:rPr>
        <w:t>, 43(1-2), 99-129.</w:t>
      </w:r>
    </w:p>
    <w:p w:rsidR="001C379C" w:rsidRPr="00977958" w:rsidRDefault="001C379C" w:rsidP="001C379C">
      <w:pPr>
        <w:ind w:left="284" w:hanging="284"/>
        <w:jc w:val="both"/>
        <w:rPr>
          <w:rFonts w:ascii="Garamond" w:hAnsi="Garamond"/>
          <w:sz w:val="24"/>
          <w:szCs w:val="24"/>
        </w:rPr>
      </w:pPr>
    </w:p>
    <w:p w:rsidR="001C379C" w:rsidRPr="00977958" w:rsidRDefault="001C379C" w:rsidP="001C379C">
      <w:pPr>
        <w:pStyle w:val="NormalWeb"/>
        <w:shd w:val="clear" w:color="auto" w:fill="FFFFFF"/>
        <w:spacing w:after="0"/>
        <w:jc w:val="both"/>
        <w:rPr>
          <w:rFonts w:ascii="Garamond" w:hAnsi="Garamond"/>
          <w:sz w:val="24"/>
          <w:szCs w:val="24"/>
          <w:lang w:val="en"/>
        </w:rPr>
      </w:pPr>
      <w:r w:rsidRPr="00977958">
        <w:rPr>
          <w:rFonts w:ascii="Garamond" w:hAnsi="Garamond"/>
          <w:sz w:val="24"/>
          <w:szCs w:val="24"/>
          <w:lang w:val="en"/>
        </w:rPr>
        <w:t xml:space="preserve">Lizieri, C. (2009) </w:t>
      </w:r>
      <w:r w:rsidRPr="00977958">
        <w:rPr>
          <w:rStyle w:val="Emphasis"/>
          <w:rFonts w:ascii="Garamond" w:eastAsia="SimSun" w:hAnsi="Garamond"/>
          <w:sz w:val="24"/>
          <w:szCs w:val="24"/>
          <w:lang w:val="en"/>
        </w:rPr>
        <w:t>Towers of Capital: Office Markets and International Financial Services</w:t>
      </w:r>
      <w:r w:rsidRPr="00977958">
        <w:rPr>
          <w:rFonts w:ascii="Garamond" w:hAnsi="Garamond"/>
          <w:sz w:val="24"/>
          <w:szCs w:val="24"/>
          <w:lang w:val="en"/>
        </w:rPr>
        <w:t xml:space="preserve"> Oxford: Wiley-Blackwell </w:t>
      </w:r>
    </w:p>
    <w:p w:rsidR="001C379C" w:rsidRPr="00977958" w:rsidRDefault="001C379C" w:rsidP="001C379C">
      <w:pPr>
        <w:pStyle w:val="NormalWeb"/>
        <w:shd w:val="clear" w:color="auto" w:fill="FFFFFF"/>
        <w:spacing w:after="0"/>
        <w:jc w:val="both"/>
        <w:rPr>
          <w:rFonts w:ascii="Garamond" w:hAnsi="Garamond"/>
          <w:sz w:val="24"/>
          <w:szCs w:val="24"/>
          <w:lang w:val="en"/>
        </w:rPr>
      </w:pPr>
    </w:p>
    <w:p w:rsidR="001C379C" w:rsidRPr="00977958" w:rsidRDefault="001C379C" w:rsidP="001C379C">
      <w:pPr>
        <w:pStyle w:val="NormalWeb"/>
        <w:shd w:val="clear" w:color="auto" w:fill="FFFFFF"/>
        <w:spacing w:after="0"/>
        <w:jc w:val="both"/>
        <w:rPr>
          <w:rFonts w:ascii="Garamond" w:hAnsi="Garamond"/>
          <w:sz w:val="24"/>
          <w:szCs w:val="24"/>
          <w:lang w:val="en"/>
        </w:rPr>
      </w:pPr>
      <w:r w:rsidRPr="00977958">
        <w:rPr>
          <w:rFonts w:ascii="Garamond" w:hAnsi="Garamond"/>
          <w:sz w:val="24"/>
          <w:szCs w:val="24"/>
          <w:lang w:val="en"/>
        </w:rPr>
        <w:t xml:space="preserve">Lizieri, C., Reinert, J. and Baum, A. (2011) </w:t>
      </w:r>
      <w:r w:rsidRPr="00977958">
        <w:rPr>
          <w:rFonts w:ascii="Garamond" w:hAnsi="Garamond"/>
          <w:i/>
          <w:sz w:val="24"/>
          <w:szCs w:val="24"/>
          <w:lang w:val="en"/>
        </w:rPr>
        <w:t>Who Owns the City? Change and Global Ownership of City of London Offices,</w:t>
      </w:r>
      <w:r w:rsidRPr="00977958">
        <w:rPr>
          <w:rFonts w:ascii="Garamond" w:hAnsi="Garamond"/>
          <w:sz w:val="24"/>
          <w:szCs w:val="24"/>
          <w:lang w:val="en"/>
        </w:rPr>
        <w:t xml:space="preserve"> Report for Development Securities PLC.</w:t>
      </w:r>
    </w:p>
    <w:p w:rsidR="001C379C" w:rsidRPr="00977958" w:rsidRDefault="001C379C" w:rsidP="001C379C">
      <w:pPr>
        <w:jc w:val="both"/>
        <w:rPr>
          <w:rFonts w:ascii="Garamond" w:hAnsi="Garamond"/>
          <w:sz w:val="24"/>
          <w:szCs w:val="24"/>
        </w:rPr>
      </w:pPr>
    </w:p>
    <w:p w:rsidR="001C379C" w:rsidRPr="00977958" w:rsidRDefault="001C379C" w:rsidP="001C379C">
      <w:pPr>
        <w:jc w:val="both"/>
        <w:rPr>
          <w:rFonts w:ascii="Garamond" w:hAnsi="Garamond"/>
          <w:sz w:val="24"/>
          <w:szCs w:val="24"/>
        </w:rPr>
      </w:pPr>
      <w:r w:rsidRPr="00977958">
        <w:rPr>
          <w:rFonts w:ascii="Garamond" w:hAnsi="Garamond"/>
          <w:sz w:val="24"/>
          <w:szCs w:val="24"/>
        </w:rPr>
        <w:t xml:space="preserve">Lizieri, C. and Pain, K. (2014) International Office Investment in Global Cities: The Production of Financial Space and Systemic Risk, </w:t>
      </w:r>
      <w:r w:rsidRPr="00977958">
        <w:rPr>
          <w:rFonts w:ascii="Garamond" w:hAnsi="Garamond"/>
          <w:i/>
          <w:sz w:val="24"/>
          <w:szCs w:val="24"/>
        </w:rPr>
        <w:t>Regional Studies</w:t>
      </w:r>
      <w:r w:rsidRPr="00977958">
        <w:rPr>
          <w:rFonts w:ascii="Garamond" w:hAnsi="Garamond"/>
          <w:sz w:val="24"/>
          <w:szCs w:val="24"/>
        </w:rPr>
        <w:t>, 48(3), 1-17.</w:t>
      </w:r>
    </w:p>
    <w:p w:rsidR="001C379C" w:rsidRPr="00977958" w:rsidRDefault="001C379C" w:rsidP="001C379C">
      <w:pPr>
        <w:pStyle w:val="ColorfulList-Accent12"/>
        <w:widowControl w:val="0"/>
        <w:autoSpaceDE w:val="0"/>
        <w:autoSpaceDN w:val="0"/>
        <w:adjustRightInd w:val="0"/>
        <w:ind w:left="0"/>
        <w:rPr>
          <w:rFonts w:ascii="Garamond" w:eastAsiaTheme="minorHAnsi" w:hAnsi="Garamond" w:cstheme="minorBidi"/>
          <w:lang w:val="en-GB"/>
        </w:rPr>
      </w:pPr>
    </w:p>
    <w:p w:rsidR="001C379C" w:rsidRPr="00977958" w:rsidRDefault="001C379C" w:rsidP="001C379C">
      <w:pPr>
        <w:pStyle w:val="ColorfulList-Accent12"/>
        <w:widowControl w:val="0"/>
        <w:autoSpaceDE w:val="0"/>
        <w:autoSpaceDN w:val="0"/>
        <w:adjustRightInd w:val="0"/>
        <w:spacing w:after="0"/>
        <w:ind w:left="0"/>
        <w:rPr>
          <w:rFonts w:ascii="Garamond" w:hAnsi="Garamond"/>
          <w:noProof/>
          <w:lang w:eastAsia="en-GB"/>
        </w:rPr>
      </w:pPr>
      <w:r w:rsidRPr="00977958">
        <w:rPr>
          <w:rFonts w:ascii="Garamond" w:hAnsi="Garamond"/>
          <w:noProof/>
          <w:lang w:eastAsia="en-GB"/>
        </w:rPr>
        <w:t xml:space="preserve">McAllister, P. and Nanda, A. (2014) Which Factors Determine Cross-Border Real Estate Capital Flows? A Gravity Modelling Approach, SSRN working paper. Available at: </w:t>
      </w:r>
      <w:hyperlink r:id="rId32" w:tgtFrame="_blank" w:history="1">
        <w:r w:rsidRPr="00977958">
          <w:rPr>
            <w:rStyle w:val="Hyperlink"/>
            <w:rFonts w:ascii="Garamond" w:hAnsi="Garamond"/>
          </w:rPr>
          <w:t xml:space="preserve">http://dx.doi.org/10.2139/ssrn.2417559 </w:t>
        </w:r>
      </w:hyperlink>
      <w:r w:rsidRPr="00977958">
        <w:rPr>
          <w:rFonts w:ascii="Garamond" w:hAnsi="Garamond"/>
          <w:noProof/>
          <w:lang w:eastAsia="en-GB"/>
        </w:rPr>
        <w:t xml:space="preserve"> </w:t>
      </w:r>
    </w:p>
    <w:p w:rsidR="001C379C" w:rsidRPr="00977958" w:rsidRDefault="001C379C" w:rsidP="001C379C">
      <w:pPr>
        <w:pStyle w:val="ColorfulList-Accent12"/>
        <w:widowControl w:val="0"/>
        <w:autoSpaceDE w:val="0"/>
        <w:autoSpaceDN w:val="0"/>
        <w:adjustRightInd w:val="0"/>
        <w:spacing w:after="0"/>
        <w:ind w:left="0"/>
        <w:rPr>
          <w:rFonts w:ascii="Garamond" w:hAnsi="Garamond"/>
          <w:noProof/>
          <w:lang w:eastAsia="en-GB"/>
        </w:rPr>
      </w:pPr>
    </w:p>
    <w:p w:rsidR="001C379C" w:rsidRPr="00977958" w:rsidRDefault="001C379C" w:rsidP="001C379C">
      <w:pPr>
        <w:pStyle w:val="NoSpacing"/>
        <w:rPr>
          <w:rFonts w:ascii="Garamond" w:hAnsi="Garamond"/>
          <w:sz w:val="24"/>
          <w:szCs w:val="24"/>
        </w:rPr>
      </w:pPr>
      <w:r w:rsidRPr="00977958">
        <w:rPr>
          <w:rFonts w:ascii="Garamond" w:hAnsi="Garamond"/>
          <w:sz w:val="24"/>
          <w:szCs w:val="24"/>
        </w:rPr>
        <w:t xml:space="preserve">Merton, R. (1987) A simple model of capital market equilibrium with incomplete information. </w:t>
      </w:r>
      <w:r w:rsidRPr="00977958">
        <w:rPr>
          <w:rFonts w:ascii="Garamond" w:hAnsi="Garamond"/>
          <w:i/>
          <w:sz w:val="24"/>
          <w:szCs w:val="24"/>
        </w:rPr>
        <w:t>Journal of Finance</w:t>
      </w:r>
      <w:r w:rsidRPr="00977958">
        <w:rPr>
          <w:rFonts w:ascii="Garamond" w:hAnsi="Garamond"/>
          <w:sz w:val="24"/>
          <w:szCs w:val="24"/>
        </w:rPr>
        <w:t>, 42, 483–510.</w:t>
      </w:r>
    </w:p>
    <w:p w:rsidR="001C379C" w:rsidRPr="00977958" w:rsidRDefault="001C379C" w:rsidP="001C379C">
      <w:pPr>
        <w:pStyle w:val="NoSpacing"/>
        <w:rPr>
          <w:rFonts w:ascii="Garamond" w:hAnsi="Garamond"/>
          <w:sz w:val="24"/>
          <w:szCs w:val="24"/>
        </w:rPr>
      </w:pPr>
    </w:p>
    <w:p w:rsidR="001C379C" w:rsidRPr="00977958" w:rsidRDefault="001C379C" w:rsidP="001C379C">
      <w:pPr>
        <w:tabs>
          <w:tab w:val="left" w:pos="1305"/>
        </w:tabs>
        <w:autoSpaceDE w:val="0"/>
        <w:rPr>
          <w:rFonts w:ascii="Garamond" w:hAnsi="Garamond"/>
          <w:color w:val="000000"/>
          <w:sz w:val="24"/>
          <w:szCs w:val="24"/>
        </w:rPr>
      </w:pPr>
      <w:r w:rsidRPr="00977958">
        <w:rPr>
          <w:rFonts w:ascii="Garamond" w:hAnsi="Garamond"/>
          <w:color w:val="000000"/>
          <w:sz w:val="24"/>
          <w:szCs w:val="24"/>
        </w:rPr>
        <w:t>Nanda, A. and Tiwari, P. (2013). Sectoral and Spatial Spillover Effects of Infrastructure Investment: A Case Study of Bengaluru, India</w:t>
      </w:r>
      <w:r w:rsidRPr="00977958">
        <w:rPr>
          <w:rFonts w:ascii="Garamond" w:hAnsi="Garamond"/>
          <w:i/>
          <w:color w:val="000000"/>
          <w:sz w:val="24"/>
          <w:szCs w:val="24"/>
        </w:rPr>
        <w:t xml:space="preserve">. </w:t>
      </w:r>
      <w:r w:rsidRPr="00977958">
        <w:rPr>
          <w:rFonts w:ascii="Garamond" w:hAnsi="Garamond"/>
          <w:color w:val="000000"/>
          <w:sz w:val="24"/>
          <w:szCs w:val="24"/>
        </w:rPr>
        <w:t xml:space="preserve">The Royal Institution of Chartered Surveyors (RICS) Research Report. </w:t>
      </w:r>
      <w:r w:rsidRPr="00977958">
        <w:rPr>
          <w:rFonts w:ascii="Garamond" w:hAnsi="Garamond"/>
          <w:i/>
          <w:color w:val="000000"/>
          <w:sz w:val="24"/>
          <w:szCs w:val="24"/>
        </w:rPr>
        <w:t xml:space="preserve"> </w:t>
      </w:r>
      <w:hyperlink r:id="rId33" w:history="1">
        <w:r w:rsidRPr="00977958">
          <w:rPr>
            <w:rStyle w:val="Hyperlink"/>
            <w:rFonts w:ascii="Garamond" w:hAnsi="Garamond"/>
            <w:szCs w:val="24"/>
          </w:rPr>
          <w:t>http://www.rics.org/uk/knowledge/research/research-reports/infrastructure-investment-in-bengaluru-india/</w:t>
        </w:r>
      </w:hyperlink>
      <w:r w:rsidRPr="00977958">
        <w:rPr>
          <w:rFonts w:ascii="Garamond" w:hAnsi="Garamond"/>
          <w:i/>
          <w:color w:val="000000"/>
          <w:sz w:val="24"/>
          <w:szCs w:val="24"/>
        </w:rPr>
        <w:t xml:space="preserve">  </w:t>
      </w:r>
    </w:p>
    <w:p w:rsidR="001C379C" w:rsidRPr="00977958" w:rsidRDefault="001C379C" w:rsidP="001C379C">
      <w:pPr>
        <w:jc w:val="both"/>
        <w:rPr>
          <w:rFonts w:ascii="Garamond" w:hAnsi="Garamond"/>
          <w:sz w:val="24"/>
          <w:szCs w:val="24"/>
        </w:rPr>
      </w:pPr>
    </w:p>
    <w:p w:rsidR="001C379C" w:rsidRPr="00977958" w:rsidRDefault="001C379C" w:rsidP="001C379C">
      <w:pPr>
        <w:rPr>
          <w:rFonts w:ascii="Garamond" w:hAnsi="Garamond"/>
          <w:color w:val="222222"/>
          <w:sz w:val="24"/>
          <w:szCs w:val="24"/>
        </w:rPr>
      </w:pPr>
      <w:r w:rsidRPr="00977958">
        <w:rPr>
          <w:rFonts w:ascii="Garamond" w:hAnsi="Garamond"/>
          <w:color w:val="222222"/>
          <w:sz w:val="24"/>
          <w:szCs w:val="24"/>
        </w:rPr>
        <w:t xml:space="preserve">Newell, G., Adair, A. and McGreal, S. (2010). Robustness of capital flows into the European commercial property markets during the global financial crisis. </w:t>
      </w:r>
      <w:r w:rsidRPr="00977958">
        <w:rPr>
          <w:rFonts w:ascii="Garamond" w:hAnsi="Garamond"/>
          <w:i/>
          <w:iCs/>
          <w:color w:val="222222"/>
          <w:sz w:val="24"/>
          <w:szCs w:val="24"/>
        </w:rPr>
        <w:t>Journal of European Real Estate Research</w:t>
      </w:r>
      <w:r w:rsidRPr="00977958">
        <w:rPr>
          <w:rFonts w:ascii="Garamond" w:hAnsi="Garamond"/>
          <w:color w:val="222222"/>
          <w:sz w:val="24"/>
          <w:szCs w:val="24"/>
        </w:rPr>
        <w:t xml:space="preserve">, </w:t>
      </w:r>
      <w:r w:rsidRPr="00977958">
        <w:rPr>
          <w:rFonts w:ascii="Garamond" w:hAnsi="Garamond"/>
          <w:iCs/>
          <w:color w:val="222222"/>
          <w:sz w:val="24"/>
          <w:szCs w:val="24"/>
        </w:rPr>
        <w:t>3</w:t>
      </w:r>
      <w:r w:rsidRPr="00977958">
        <w:rPr>
          <w:rFonts w:ascii="Garamond" w:hAnsi="Garamond"/>
          <w:color w:val="222222"/>
          <w:sz w:val="24"/>
          <w:szCs w:val="24"/>
        </w:rPr>
        <w:t>(3), 182-202.</w:t>
      </w:r>
    </w:p>
    <w:p w:rsidR="001C379C" w:rsidRPr="00977958" w:rsidRDefault="001C379C" w:rsidP="001C379C">
      <w:pPr>
        <w:pStyle w:val="ColorfulList-Accent12"/>
        <w:widowControl w:val="0"/>
        <w:autoSpaceDE w:val="0"/>
        <w:autoSpaceDN w:val="0"/>
        <w:adjustRightInd w:val="0"/>
        <w:spacing w:after="0"/>
        <w:ind w:left="0"/>
        <w:jc w:val="both"/>
        <w:rPr>
          <w:rFonts w:ascii="Garamond" w:hAnsi="Garamond"/>
          <w:noProof/>
          <w:lang w:eastAsia="en-GB"/>
        </w:rPr>
      </w:pPr>
    </w:p>
    <w:p w:rsidR="001C379C" w:rsidRPr="00977958" w:rsidRDefault="001C379C" w:rsidP="001C379C">
      <w:pPr>
        <w:pStyle w:val="ColorfulList-Accent12"/>
        <w:widowControl w:val="0"/>
        <w:autoSpaceDE w:val="0"/>
        <w:autoSpaceDN w:val="0"/>
        <w:adjustRightInd w:val="0"/>
        <w:ind w:left="0"/>
        <w:jc w:val="both"/>
        <w:rPr>
          <w:rFonts w:ascii="Garamond" w:hAnsi="Garamond"/>
        </w:rPr>
      </w:pPr>
      <w:r w:rsidRPr="00977958">
        <w:rPr>
          <w:rFonts w:ascii="Garamond" w:hAnsi="Garamond"/>
          <w:noProof/>
          <w:lang w:val="en-GB"/>
        </w:rPr>
        <w:t xml:space="preserve">Nölke, A., and Vliegenthart, A. (2009) Enlarging the varieties of capitalism: The emergence of dependent market economies in East Central Europe. </w:t>
      </w:r>
      <w:r w:rsidRPr="00977958">
        <w:rPr>
          <w:rFonts w:ascii="Garamond" w:hAnsi="Garamond"/>
          <w:i/>
          <w:iCs/>
          <w:noProof/>
          <w:lang w:val="en-GB"/>
        </w:rPr>
        <w:t>World Politics</w:t>
      </w:r>
      <w:r w:rsidRPr="00977958">
        <w:rPr>
          <w:rFonts w:ascii="Garamond" w:hAnsi="Garamond"/>
          <w:noProof/>
          <w:lang w:val="en-GB"/>
        </w:rPr>
        <w:t xml:space="preserve">, </w:t>
      </w:r>
      <w:r w:rsidRPr="00977958">
        <w:rPr>
          <w:rFonts w:ascii="Garamond" w:hAnsi="Garamond"/>
          <w:iCs/>
          <w:noProof/>
          <w:lang w:val="en-GB"/>
        </w:rPr>
        <w:t>61:</w:t>
      </w:r>
      <w:r w:rsidRPr="00977958">
        <w:rPr>
          <w:rFonts w:ascii="Garamond" w:hAnsi="Garamond"/>
          <w:noProof/>
          <w:lang w:val="en-GB"/>
        </w:rPr>
        <w:t xml:space="preserve"> 670-702.</w:t>
      </w:r>
    </w:p>
    <w:p w:rsidR="001C379C" w:rsidRPr="00977958" w:rsidRDefault="001C379C" w:rsidP="001C379C">
      <w:pPr>
        <w:rPr>
          <w:rFonts w:ascii="Garamond" w:hAnsi="Garamond"/>
          <w:sz w:val="24"/>
          <w:szCs w:val="24"/>
        </w:rPr>
      </w:pPr>
      <w:r w:rsidRPr="00977958">
        <w:rPr>
          <w:rFonts w:ascii="Garamond" w:hAnsi="Garamond"/>
          <w:sz w:val="24"/>
          <w:szCs w:val="24"/>
        </w:rPr>
        <w:t xml:space="preserve">Parwada, J., Walter, T., and Winchester, D. (2007). Foreign investors’ trading disadvantages in US stock market: An analysis by country of origin. </w:t>
      </w:r>
      <w:r w:rsidRPr="00977958">
        <w:rPr>
          <w:rFonts w:ascii="Garamond" w:hAnsi="Garamond"/>
          <w:i/>
          <w:iCs/>
          <w:sz w:val="24"/>
          <w:szCs w:val="24"/>
        </w:rPr>
        <w:t>Unpublished Working Paper, University of New South Wales</w:t>
      </w:r>
      <w:r w:rsidRPr="00977958">
        <w:rPr>
          <w:rFonts w:ascii="Garamond" w:hAnsi="Garamond"/>
          <w:sz w:val="24"/>
          <w:szCs w:val="24"/>
        </w:rPr>
        <w:t>.</w:t>
      </w:r>
    </w:p>
    <w:p w:rsidR="001C379C" w:rsidRPr="00977958" w:rsidRDefault="001C379C" w:rsidP="001C379C">
      <w:pPr>
        <w:rPr>
          <w:rFonts w:ascii="Garamond" w:hAnsi="Garamond"/>
          <w:sz w:val="24"/>
          <w:szCs w:val="24"/>
        </w:rPr>
      </w:pPr>
    </w:p>
    <w:p w:rsidR="001C379C" w:rsidRPr="00977958" w:rsidRDefault="001C379C" w:rsidP="001C379C">
      <w:pPr>
        <w:rPr>
          <w:rFonts w:ascii="Garamond" w:hAnsi="Garamond"/>
          <w:sz w:val="24"/>
          <w:szCs w:val="24"/>
        </w:rPr>
      </w:pPr>
      <w:r w:rsidRPr="00977958">
        <w:rPr>
          <w:rFonts w:ascii="Garamond" w:hAnsi="Garamond"/>
          <w:sz w:val="24"/>
          <w:szCs w:val="24"/>
        </w:rPr>
        <w:t>Seasholes, M. S. 2004. Re-examining Information Asymmetries in Emerging Stock Markets. Unpublished Working Paper, University of California, Berkeley, CA.</w:t>
      </w:r>
    </w:p>
    <w:p w:rsidR="001C379C" w:rsidRPr="00977958" w:rsidRDefault="001C379C" w:rsidP="001C379C">
      <w:pPr>
        <w:rPr>
          <w:rFonts w:ascii="Garamond" w:hAnsi="Garamond"/>
          <w:sz w:val="24"/>
          <w:szCs w:val="24"/>
        </w:rPr>
      </w:pPr>
    </w:p>
    <w:p w:rsidR="001C379C" w:rsidRPr="00977958" w:rsidRDefault="001C379C" w:rsidP="001C379C">
      <w:pPr>
        <w:pStyle w:val="Subtitle"/>
        <w:rPr>
          <w:rStyle w:val="personname"/>
          <w:rFonts w:ascii="Garamond" w:hAnsi="Garamond" w:cs="Arial"/>
          <w:sz w:val="22"/>
          <w:szCs w:val="22"/>
          <w:lang w:val="en-US"/>
        </w:rPr>
      </w:pPr>
      <w:r w:rsidRPr="00977958">
        <w:rPr>
          <w:rStyle w:val="personname"/>
          <w:rFonts w:ascii="Garamond" w:hAnsi="Garamond" w:cs="Arial"/>
          <w:sz w:val="22"/>
          <w:szCs w:val="22"/>
          <w:lang w:val="en-US"/>
        </w:rPr>
        <w:t>Shiller, R. 1998. Comment on Vincent Warther, Has the rise of mutual funds increased market instability?  Brooking-Wharton Papers.</w:t>
      </w:r>
    </w:p>
    <w:p w:rsidR="001C379C" w:rsidRPr="00977958" w:rsidRDefault="001C379C" w:rsidP="001C379C">
      <w:pPr>
        <w:rPr>
          <w:rFonts w:ascii="Garamond" w:hAnsi="Garamond"/>
          <w:sz w:val="24"/>
          <w:szCs w:val="24"/>
        </w:rPr>
      </w:pPr>
    </w:p>
    <w:p w:rsidR="001C379C" w:rsidRPr="00977958" w:rsidRDefault="001C379C" w:rsidP="001C379C">
      <w:pPr>
        <w:rPr>
          <w:rFonts w:ascii="Garamond" w:hAnsi="Garamond"/>
          <w:sz w:val="24"/>
          <w:szCs w:val="24"/>
        </w:rPr>
      </w:pPr>
      <w:r w:rsidRPr="00977958">
        <w:rPr>
          <w:rFonts w:ascii="Garamond" w:hAnsi="Garamond"/>
          <w:sz w:val="24"/>
          <w:szCs w:val="24"/>
        </w:rPr>
        <w:t xml:space="preserve">Sirmans, C. F. and  Worzala, E. (2003) International direct real estate investment: a review of the literature, </w:t>
      </w:r>
      <w:r w:rsidRPr="00977958">
        <w:rPr>
          <w:rFonts w:ascii="Garamond" w:hAnsi="Garamond"/>
          <w:i/>
          <w:iCs/>
          <w:sz w:val="24"/>
          <w:szCs w:val="24"/>
        </w:rPr>
        <w:t>Urban Studies</w:t>
      </w:r>
      <w:r w:rsidRPr="00977958">
        <w:rPr>
          <w:rFonts w:ascii="Garamond" w:hAnsi="Garamond"/>
          <w:sz w:val="24"/>
          <w:szCs w:val="24"/>
        </w:rPr>
        <w:t xml:space="preserve">, </w:t>
      </w:r>
      <w:r w:rsidRPr="00977958">
        <w:rPr>
          <w:rFonts w:ascii="Garamond" w:hAnsi="Garamond"/>
          <w:iCs/>
          <w:sz w:val="24"/>
          <w:szCs w:val="24"/>
        </w:rPr>
        <w:t>40:</w:t>
      </w:r>
      <w:r w:rsidRPr="00977958">
        <w:rPr>
          <w:rFonts w:ascii="Garamond" w:hAnsi="Garamond"/>
          <w:sz w:val="24"/>
          <w:szCs w:val="24"/>
        </w:rPr>
        <w:t xml:space="preserve"> 1081-1114.</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Sivitanides, P., Southard, J., Torto, R. and Wheaton, W. (2001). The determinants of appraisal based capitalization rates. </w:t>
      </w:r>
      <w:r w:rsidRPr="00977958">
        <w:rPr>
          <w:rFonts w:ascii="Garamond" w:hAnsi="Garamond"/>
          <w:i/>
          <w:sz w:val="24"/>
          <w:szCs w:val="24"/>
        </w:rPr>
        <w:t>Real Estate Finance</w:t>
      </w:r>
      <w:r w:rsidRPr="00977958">
        <w:rPr>
          <w:rFonts w:ascii="Garamond" w:hAnsi="Garamond"/>
          <w:sz w:val="24"/>
          <w:szCs w:val="24"/>
        </w:rPr>
        <w:t>, 18(2), 27-37.</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Sivitanidou, R. and Sivitanides, P. (1999). Office capitalization rates: Real estate and capital market influences. </w:t>
      </w:r>
      <w:r w:rsidRPr="00977958">
        <w:rPr>
          <w:rFonts w:ascii="Garamond" w:hAnsi="Garamond"/>
          <w:i/>
          <w:iCs/>
          <w:sz w:val="24"/>
          <w:szCs w:val="24"/>
        </w:rPr>
        <w:t>The Journal of Real Estate Finance and Economics</w:t>
      </w:r>
      <w:r w:rsidRPr="00977958">
        <w:rPr>
          <w:rFonts w:ascii="Garamond" w:hAnsi="Garamond"/>
          <w:sz w:val="24"/>
          <w:szCs w:val="24"/>
        </w:rPr>
        <w:t xml:space="preserve">, </w:t>
      </w:r>
      <w:r w:rsidRPr="00977958">
        <w:rPr>
          <w:rFonts w:ascii="Garamond" w:hAnsi="Garamond"/>
          <w:iCs/>
          <w:sz w:val="24"/>
          <w:szCs w:val="24"/>
        </w:rPr>
        <w:t>18</w:t>
      </w:r>
      <w:r w:rsidRPr="00977958">
        <w:rPr>
          <w:rFonts w:ascii="Garamond" w:hAnsi="Garamond"/>
          <w:sz w:val="24"/>
          <w:szCs w:val="24"/>
        </w:rPr>
        <w:t>(3), 297-322.</w:t>
      </w:r>
    </w:p>
    <w:p w:rsidR="001C379C" w:rsidRPr="00977958" w:rsidRDefault="001C379C" w:rsidP="001C379C">
      <w:pPr>
        <w:pStyle w:val="NoSpacing"/>
        <w:jc w:val="both"/>
        <w:rPr>
          <w:rFonts w:ascii="Garamond" w:hAnsi="Garamond"/>
          <w:sz w:val="24"/>
          <w:szCs w:val="24"/>
        </w:rPr>
      </w:pPr>
    </w:p>
    <w:p w:rsidR="001C379C" w:rsidRPr="00977958" w:rsidRDefault="001C379C" w:rsidP="001C379C">
      <w:pPr>
        <w:pStyle w:val="NoSpacing"/>
        <w:jc w:val="both"/>
        <w:rPr>
          <w:rFonts w:ascii="Garamond" w:hAnsi="Garamond"/>
          <w:sz w:val="24"/>
          <w:szCs w:val="24"/>
        </w:rPr>
      </w:pPr>
      <w:r w:rsidRPr="00977958">
        <w:rPr>
          <w:rFonts w:ascii="Garamond" w:hAnsi="Garamond"/>
          <w:sz w:val="24"/>
          <w:szCs w:val="24"/>
        </w:rPr>
        <w:t xml:space="preserve">Stulz, R. M. (1999). Globalization, corporate finance, and the cost of capital. </w:t>
      </w:r>
      <w:r w:rsidRPr="00977958">
        <w:rPr>
          <w:rFonts w:ascii="Garamond" w:hAnsi="Garamond"/>
          <w:i/>
          <w:iCs/>
          <w:sz w:val="24"/>
          <w:szCs w:val="24"/>
        </w:rPr>
        <w:t>Journal of Applied Corporate Finance</w:t>
      </w:r>
      <w:r w:rsidRPr="00977958">
        <w:rPr>
          <w:rFonts w:ascii="Garamond" w:hAnsi="Garamond"/>
          <w:sz w:val="24"/>
          <w:szCs w:val="24"/>
        </w:rPr>
        <w:t xml:space="preserve">, </w:t>
      </w:r>
      <w:r w:rsidRPr="00977958">
        <w:rPr>
          <w:rFonts w:ascii="Garamond" w:hAnsi="Garamond"/>
          <w:iCs/>
          <w:sz w:val="24"/>
          <w:szCs w:val="24"/>
        </w:rPr>
        <w:t>12</w:t>
      </w:r>
      <w:r w:rsidRPr="00977958">
        <w:rPr>
          <w:rFonts w:ascii="Garamond" w:hAnsi="Garamond"/>
          <w:sz w:val="24"/>
          <w:szCs w:val="24"/>
        </w:rPr>
        <w:t>(3), 8-25.</w:t>
      </w:r>
    </w:p>
    <w:p w:rsidR="001C379C" w:rsidRPr="00977958" w:rsidRDefault="001C379C" w:rsidP="001C379C">
      <w:pPr>
        <w:pStyle w:val="NoSpacing"/>
        <w:spacing w:line="360" w:lineRule="auto"/>
        <w:jc w:val="both"/>
        <w:rPr>
          <w:rFonts w:ascii="Garamond" w:hAnsi="Garamond"/>
          <w:sz w:val="24"/>
          <w:szCs w:val="24"/>
        </w:rPr>
      </w:pPr>
    </w:p>
    <w:p w:rsidR="001C379C" w:rsidRPr="00977958" w:rsidRDefault="001C379C" w:rsidP="001C379C">
      <w:pPr>
        <w:rPr>
          <w:rFonts w:ascii="Garamond" w:hAnsi="Garamond"/>
          <w:sz w:val="24"/>
          <w:szCs w:val="24"/>
        </w:rPr>
      </w:pPr>
      <w:r w:rsidRPr="00977958">
        <w:rPr>
          <w:rFonts w:ascii="Garamond" w:hAnsi="Garamond"/>
          <w:sz w:val="24"/>
          <w:szCs w:val="24"/>
        </w:rPr>
        <w:t xml:space="preserve">Worzala, E. and Sirmans, C. F. (2003) Investing in international real estate stocks: a review of the literature, </w:t>
      </w:r>
      <w:r w:rsidRPr="00977958">
        <w:rPr>
          <w:rFonts w:ascii="Garamond" w:hAnsi="Garamond"/>
          <w:i/>
          <w:iCs/>
          <w:sz w:val="24"/>
          <w:szCs w:val="24"/>
        </w:rPr>
        <w:t>Urban Studies</w:t>
      </w:r>
      <w:r w:rsidRPr="00977958">
        <w:rPr>
          <w:rFonts w:ascii="Garamond" w:hAnsi="Garamond"/>
          <w:sz w:val="24"/>
          <w:szCs w:val="24"/>
        </w:rPr>
        <w:t xml:space="preserve">, </w:t>
      </w:r>
      <w:r w:rsidRPr="00977958">
        <w:rPr>
          <w:rFonts w:ascii="Garamond" w:hAnsi="Garamond"/>
          <w:iCs/>
          <w:sz w:val="24"/>
          <w:szCs w:val="24"/>
        </w:rPr>
        <w:t>40:</w:t>
      </w:r>
      <w:r w:rsidRPr="00977958">
        <w:rPr>
          <w:rFonts w:ascii="Garamond" w:hAnsi="Garamond"/>
          <w:sz w:val="24"/>
          <w:szCs w:val="24"/>
        </w:rPr>
        <w:t xml:space="preserve"> 1115-1149.</w:t>
      </w:r>
    </w:p>
    <w:p w:rsidR="001C379C" w:rsidRPr="00977958" w:rsidRDefault="001C379C" w:rsidP="001C379C">
      <w:pPr>
        <w:pStyle w:val="NoSpacing"/>
        <w:spacing w:line="360" w:lineRule="auto"/>
        <w:jc w:val="both"/>
        <w:rPr>
          <w:rFonts w:ascii="Garamond" w:hAnsi="Garamond"/>
          <w:sz w:val="24"/>
          <w:szCs w:val="24"/>
        </w:rPr>
      </w:pPr>
    </w:p>
    <w:p w:rsidR="001C379C" w:rsidRPr="00977958" w:rsidRDefault="001C379C" w:rsidP="001C379C">
      <w:pPr>
        <w:pStyle w:val="NoSpacing"/>
        <w:spacing w:line="360" w:lineRule="auto"/>
        <w:rPr>
          <w:rFonts w:ascii="Garamond" w:hAnsi="Garamond"/>
          <w:sz w:val="24"/>
        </w:rPr>
      </w:pPr>
      <w:r w:rsidRPr="00977958">
        <w:rPr>
          <w:rFonts w:ascii="Garamond" w:hAnsi="Garamond"/>
          <w:sz w:val="24"/>
          <w:szCs w:val="24"/>
          <w:lang w:val="en-US"/>
        </w:rPr>
        <w:t xml:space="preserve">Zheng, L. 1998. </w:t>
      </w:r>
      <w:r w:rsidRPr="00977958">
        <w:rPr>
          <w:rFonts w:ascii="Garamond" w:hAnsi="Garamond"/>
          <w:i/>
          <w:sz w:val="24"/>
          <w:szCs w:val="24"/>
          <w:lang w:val="en-US"/>
        </w:rPr>
        <w:t>Who moves the market?</w:t>
      </w:r>
      <w:r w:rsidRPr="00977958">
        <w:rPr>
          <w:rFonts w:ascii="Garamond" w:hAnsi="Garamond"/>
          <w:sz w:val="24"/>
          <w:szCs w:val="24"/>
          <w:lang w:val="en-US"/>
        </w:rPr>
        <w:t xml:space="preserve">  Working Paper, University of Michigan Business School.</w:t>
      </w:r>
    </w:p>
    <w:p w:rsidR="001C379C" w:rsidRPr="00977958" w:rsidRDefault="001C379C" w:rsidP="001C379C">
      <w:pPr>
        <w:pStyle w:val="NoSpacing"/>
        <w:spacing w:line="360" w:lineRule="auto"/>
        <w:jc w:val="both"/>
        <w:rPr>
          <w:rFonts w:ascii="Garamond" w:hAnsi="Garamond"/>
          <w:sz w:val="24"/>
          <w:szCs w:val="24"/>
        </w:rPr>
      </w:pPr>
    </w:p>
    <w:p w:rsidR="001C379C" w:rsidRPr="00977958" w:rsidRDefault="001C379C">
      <w:pPr>
        <w:rPr>
          <w:rFonts w:ascii="Garamond" w:hAnsi="Garamond"/>
          <w:sz w:val="24"/>
          <w:szCs w:val="24"/>
        </w:rPr>
      </w:pPr>
      <w:r w:rsidRPr="00977958">
        <w:rPr>
          <w:rFonts w:ascii="Garamond" w:hAnsi="Garamond"/>
          <w:sz w:val="24"/>
          <w:szCs w:val="24"/>
        </w:rPr>
        <w:br w:type="page"/>
      </w:r>
    </w:p>
    <w:p w:rsidR="001C379C" w:rsidRPr="00977958" w:rsidRDefault="001C379C" w:rsidP="00DC42EF">
      <w:pPr>
        <w:spacing w:line="360" w:lineRule="auto"/>
        <w:jc w:val="both"/>
        <w:rPr>
          <w:rFonts w:ascii="Garamond" w:hAnsi="Garamond"/>
          <w:sz w:val="24"/>
          <w:szCs w:val="24"/>
        </w:rPr>
        <w:sectPr w:rsidR="001C379C" w:rsidRPr="00977958" w:rsidSect="00122B76">
          <w:pgSz w:w="11906" w:h="16838"/>
          <w:pgMar w:top="1440" w:right="1440" w:bottom="1440" w:left="1440" w:header="709" w:footer="709" w:gutter="0"/>
          <w:cols w:space="708"/>
          <w:docGrid w:linePitch="360"/>
        </w:sectPr>
      </w:pPr>
    </w:p>
    <w:p w:rsidR="00DC42EF" w:rsidRPr="00977958" w:rsidRDefault="00BE4B79" w:rsidP="00DC42EF">
      <w:pPr>
        <w:spacing w:line="360" w:lineRule="auto"/>
        <w:jc w:val="both"/>
        <w:rPr>
          <w:rFonts w:ascii="Garamond" w:hAnsi="Garamond"/>
          <w:b/>
          <w:sz w:val="24"/>
          <w:szCs w:val="24"/>
        </w:rPr>
      </w:pPr>
      <w:r w:rsidRPr="00977958">
        <w:rPr>
          <w:rFonts w:ascii="Garamond" w:hAnsi="Garamond"/>
          <w:b/>
          <w:sz w:val="24"/>
          <w:szCs w:val="24"/>
        </w:rPr>
        <w:lastRenderedPageBreak/>
        <w:t>Appendix 1</w:t>
      </w:r>
    </w:p>
    <w:p w:rsidR="00BE4B79" w:rsidRPr="00977958" w:rsidRDefault="00BE4B79" w:rsidP="00DC42EF">
      <w:pPr>
        <w:spacing w:line="360" w:lineRule="auto"/>
        <w:jc w:val="both"/>
        <w:rPr>
          <w:rFonts w:ascii="Garamond" w:hAnsi="Garamond"/>
          <w:sz w:val="24"/>
          <w:szCs w:val="24"/>
        </w:rPr>
      </w:pPr>
    </w:p>
    <w:p w:rsidR="00BE4B79" w:rsidRPr="00977958" w:rsidRDefault="00BE4B79" w:rsidP="00BE4B79">
      <w:pPr>
        <w:jc w:val="center"/>
        <w:rPr>
          <w:rFonts w:ascii="Garamond" w:hAnsi="Garamond" w:cs="Times New Roman"/>
          <w:b/>
          <w:sz w:val="24"/>
        </w:rPr>
      </w:pPr>
      <w:r w:rsidRPr="00977958">
        <w:rPr>
          <w:rFonts w:ascii="Garamond" w:hAnsi="Garamond" w:cs="Times New Roman"/>
          <w:b/>
          <w:sz w:val="24"/>
        </w:rPr>
        <w:t>Correlation Matrix</w:t>
      </w:r>
    </w:p>
    <w:p w:rsidR="00BE4B79" w:rsidRPr="00977958" w:rsidRDefault="00BE4B79" w:rsidP="00BE4B79">
      <w:pPr>
        <w:ind w:left="1440"/>
        <w:jc w:val="center"/>
        <w:rPr>
          <w:rFonts w:ascii="Garamond" w:hAnsi="Garamond" w:cs="Times New Roman"/>
          <w:b/>
          <w:sz w:val="24"/>
        </w:rPr>
      </w:pPr>
    </w:p>
    <w:p w:rsidR="00BE4B79" w:rsidRPr="00977958" w:rsidRDefault="00BE4B79" w:rsidP="00BE4B79">
      <w:pPr>
        <w:ind w:left="2160"/>
        <w:rPr>
          <w:rFonts w:ascii="Consolas" w:hAnsi="Consolas" w:cs="Consolas"/>
        </w:rPr>
      </w:pPr>
      <w:r w:rsidRPr="00977958">
        <w:rPr>
          <w:rFonts w:ascii="Consolas" w:hAnsi="Consolas" w:cs="Consolas"/>
        </w:rPr>
        <w:t xml:space="preserve">             |    (1)       (2)     (3)       (4)     (5)      (6)      (7) </w:t>
      </w:r>
    </w:p>
    <w:p w:rsidR="00BE4B79" w:rsidRPr="00977958" w:rsidRDefault="00BE4B79" w:rsidP="00BE4B79">
      <w:pPr>
        <w:ind w:left="2160"/>
        <w:rPr>
          <w:rFonts w:ascii="Consolas" w:hAnsi="Consolas" w:cs="Consolas"/>
        </w:rPr>
      </w:pPr>
      <w:r w:rsidRPr="00977958">
        <w:rPr>
          <w:rFonts w:ascii="Consolas" w:hAnsi="Consolas" w:cs="Consolas"/>
        </w:rPr>
        <w:t>-------------+---------------------------------------------------------------</w:t>
      </w:r>
    </w:p>
    <w:p w:rsidR="00BE4B79" w:rsidRPr="00977958" w:rsidRDefault="00BE4B79" w:rsidP="00BE4B79">
      <w:pPr>
        <w:ind w:left="2160"/>
        <w:rPr>
          <w:rFonts w:ascii="Consolas" w:hAnsi="Consolas" w:cs="Consolas"/>
        </w:rPr>
      </w:pPr>
      <w:r w:rsidRPr="00977958">
        <w:rPr>
          <w:rFonts w:ascii="Consolas" w:hAnsi="Consolas" w:cs="Consolas"/>
        </w:rPr>
        <w:t>Cap rate (1) |   1.00</w:t>
      </w:r>
    </w:p>
    <w:p w:rsidR="00BE4B79" w:rsidRPr="00977958" w:rsidRDefault="00BE4B79" w:rsidP="00BE4B79">
      <w:pPr>
        <w:ind w:left="720"/>
        <w:rPr>
          <w:rFonts w:ascii="Consolas" w:hAnsi="Consolas" w:cs="Consolas"/>
        </w:rPr>
      </w:pPr>
      <w:r w:rsidRPr="00977958">
        <w:rPr>
          <w:rFonts w:ascii="Consolas" w:hAnsi="Consolas" w:cs="Consolas"/>
        </w:rPr>
        <w:t xml:space="preserve">            Foreign% (2) |  -0.02     1.00</w:t>
      </w:r>
    </w:p>
    <w:p w:rsidR="00BE4B79" w:rsidRPr="00977958" w:rsidRDefault="00BE4B79" w:rsidP="00BE4B79">
      <w:pPr>
        <w:ind w:left="720"/>
        <w:rPr>
          <w:rFonts w:ascii="Consolas" w:hAnsi="Consolas" w:cs="Consolas"/>
        </w:rPr>
      </w:pPr>
      <w:r w:rsidRPr="00977958">
        <w:rPr>
          <w:rFonts w:ascii="Consolas" w:hAnsi="Consolas" w:cs="Consolas"/>
        </w:rPr>
        <w:t>Log(real rent ratio) (3) |   0.12     0.04     1.00</w:t>
      </w:r>
    </w:p>
    <w:p w:rsidR="00BE4B79" w:rsidRPr="00977958" w:rsidRDefault="00BE4B79" w:rsidP="00BE4B79">
      <w:pPr>
        <w:rPr>
          <w:rFonts w:ascii="Consolas" w:hAnsi="Consolas" w:cs="Consolas"/>
        </w:rPr>
      </w:pPr>
      <w:r w:rsidRPr="00977958">
        <w:rPr>
          <w:rFonts w:ascii="Consolas" w:hAnsi="Consolas" w:cs="Consolas"/>
        </w:rPr>
        <w:t xml:space="preserve">     Log(no. of APS firms) (4) |  -0.20     0.19    -0.00      1.00</w:t>
      </w:r>
    </w:p>
    <w:p w:rsidR="00BE4B79" w:rsidRPr="00977958" w:rsidRDefault="00BE4B79" w:rsidP="00BE4B79">
      <w:pPr>
        <w:ind w:left="720"/>
        <w:rPr>
          <w:rFonts w:ascii="Consolas" w:hAnsi="Consolas" w:cs="Consolas"/>
        </w:rPr>
      </w:pPr>
      <w:r w:rsidRPr="00977958">
        <w:rPr>
          <w:rFonts w:ascii="Consolas" w:hAnsi="Consolas" w:cs="Consolas"/>
        </w:rPr>
        <w:t xml:space="preserve">   Real T-bond yield (5) |   0.15    -0.02     </w:t>
      </w:r>
      <w:r w:rsidRPr="00977958">
        <w:rPr>
          <w:rFonts w:ascii="Consolas" w:hAnsi="Consolas" w:cs="Consolas"/>
          <w:b/>
        </w:rPr>
        <w:t>0.56</w:t>
      </w:r>
      <w:r w:rsidRPr="00977958">
        <w:rPr>
          <w:rFonts w:ascii="Consolas" w:hAnsi="Consolas" w:cs="Consolas"/>
        </w:rPr>
        <w:t xml:space="preserve">      0.00     1.00</w:t>
      </w:r>
    </w:p>
    <w:p w:rsidR="00BE4B79" w:rsidRPr="00977958" w:rsidRDefault="00BE4B79" w:rsidP="00BE4B79">
      <w:pPr>
        <w:rPr>
          <w:rFonts w:ascii="Consolas" w:hAnsi="Consolas" w:cs="Consolas"/>
        </w:rPr>
      </w:pPr>
      <w:r w:rsidRPr="00977958">
        <w:rPr>
          <w:rFonts w:ascii="Consolas" w:hAnsi="Consolas" w:cs="Consolas"/>
        </w:rPr>
        <w:t xml:space="preserve">              Risk premium (6) |   0.42    -0.05    -0.01      0.00     0.18     1.00</w:t>
      </w:r>
    </w:p>
    <w:p w:rsidR="00BE4B79" w:rsidRPr="00977958" w:rsidRDefault="00BE4B79" w:rsidP="00BE4B79">
      <w:pPr>
        <w:ind w:left="720"/>
        <w:rPr>
          <w:rFonts w:ascii="Consolas" w:hAnsi="Consolas" w:cs="Consolas"/>
        </w:rPr>
      </w:pPr>
      <w:r w:rsidRPr="00977958">
        <w:rPr>
          <w:rFonts w:ascii="Consolas" w:hAnsi="Consolas" w:cs="Consolas"/>
        </w:rPr>
        <w:t xml:space="preserve">   Debt availability (7) |  -0.13    -0.05    </w:t>
      </w:r>
      <w:r w:rsidRPr="00977958">
        <w:rPr>
          <w:rFonts w:ascii="Consolas" w:hAnsi="Consolas" w:cs="Consolas"/>
          <w:b/>
        </w:rPr>
        <w:t>-0.70</w:t>
      </w:r>
      <w:r w:rsidRPr="00977958">
        <w:rPr>
          <w:rFonts w:ascii="Consolas" w:hAnsi="Consolas" w:cs="Consolas"/>
        </w:rPr>
        <w:t xml:space="preserve">     -0.00    </w:t>
      </w:r>
      <w:r w:rsidRPr="00977958">
        <w:rPr>
          <w:rFonts w:ascii="Consolas" w:hAnsi="Consolas" w:cs="Consolas"/>
          <w:b/>
        </w:rPr>
        <w:t>-0.57</w:t>
      </w:r>
      <w:r w:rsidRPr="00977958">
        <w:rPr>
          <w:rFonts w:ascii="Consolas" w:hAnsi="Consolas" w:cs="Consolas"/>
        </w:rPr>
        <w:t xml:space="preserve">     </w:t>
      </w:r>
      <w:r w:rsidRPr="00977958">
        <w:rPr>
          <w:rFonts w:ascii="Consolas" w:hAnsi="Consolas" w:cs="Consolas"/>
          <w:b/>
        </w:rPr>
        <w:t>0.37</w:t>
      </w:r>
      <w:r w:rsidRPr="00977958">
        <w:rPr>
          <w:rFonts w:ascii="Consolas" w:hAnsi="Consolas" w:cs="Consolas"/>
        </w:rPr>
        <w:t xml:space="preserve">    1.00</w:t>
      </w:r>
    </w:p>
    <w:p w:rsidR="00BE4B79" w:rsidRPr="00977958" w:rsidRDefault="00BE4B79" w:rsidP="00BE4B79">
      <w:pPr>
        <w:ind w:left="1440"/>
        <w:rPr>
          <w:rFonts w:ascii="Consolas" w:hAnsi="Consolas" w:cs="Consolas"/>
        </w:rPr>
      </w:pPr>
    </w:p>
    <w:p w:rsidR="00BE4B79" w:rsidRPr="00DB6EA7" w:rsidRDefault="00BE4B79" w:rsidP="00BE4B79">
      <w:pPr>
        <w:jc w:val="center"/>
        <w:rPr>
          <w:rFonts w:ascii="Garamond" w:hAnsi="Garamond" w:cs="Times New Roman"/>
          <w:sz w:val="24"/>
        </w:rPr>
      </w:pPr>
      <w:r w:rsidRPr="00977958">
        <w:rPr>
          <w:rFonts w:ascii="Garamond" w:hAnsi="Garamond" w:cs="Times New Roman"/>
          <w:sz w:val="24"/>
        </w:rPr>
        <w:t>Note: Variables with more than 25% correlation are specified in regression after the orthogonalization process.</w:t>
      </w:r>
    </w:p>
    <w:p w:rsidR="00BE4B79" w:rsidRPr="00DC42EF" w:rsidRDefault="00BE4B79" w:rsidP="00DC42EF">
      <w:pPr>
        <w:spacing w:line="360" w:lineRule="auto"/>
        <w:jc w:val="both"/>
        <w:rPr>
          <w:rFonts w:ascii="Garamond" w:hAnsi="Garamond"/>
          <w:sz w:val="24"/>
          <w:szCs w:val="24"/>
        </w:rPr>
      </w:pPr>
    </w:p>
    <w:p w:rsidR="00DC42EF" w:rsidRDefault="00DC42EF" w:rsidP="002567C7">
      <w:pPr>
        <w:pStyle w:val="NoSpacing"/>
        <w:spacing w:line="360" w:lineRule="auto"/>
        <w:ind w:left="1440" w:hanging="1440"/>
        <w:jc w:val="both"/>
        <w:rPr>
          <w:rFonts w:ascii="Garamond" w:hAnsi="Garamond"/>
          <w:sz w:val="24"/>
          <w:szCs w:val="24"/>
        </w:rPr>
      </w:pPr>
    </w:p>
    <w:p w:rsidR="00DC42EF" w:rsidRDefault="00DC42EF" w:rsidP="002567C7">
      <w:pPr>
        <w:pStyle w:val="NoSpacing"/>
        <w:spacing w:line="360" w:lineRule="auto"/>
        <w:ind w:left="1440" w:hanging="1440"/>
        <w:jc w:val="both"/>
        <w:rPr>
          <w:rFonts w:ascii="Garamond" w:hAnsi="Garamond"/>
          <w:sz w:val="24"/>
          <w:szCs w:val="24"/>
        </w:rPr>
      </w:pPr>
    </w:p>
    <w:p w:rsidR="001140C6" w:rsidRDefault="00F21392" w:rsidP="002567C7">
      <w:pPr>
        <w:pStyle w:val="NoSpacing"/>
        <w:spacing w:line="360" w:lineRule="auto"/>
        <w:ind w:left="1440" w:hanging="1440"/>
        <w:jc w:val="both"/>
        <w:rPr>
          <w:rFonts w:ascii="Garamond" w:hAnsi="Garamond"/>
          <w:sz w:val="24"/>
          <w:szCs w:val="24"/>
        </w:rPr>
      </w:pPr>
      <w:r>
        <w:rPr>
          <w:rFonts w:ascii="Garamond" w:hAnsi="Garamond"/>
          <w:sz w:val="24"/>
          <w:szCs w:val="24"/>
        </w:rPr>
        <w:t xml:space="preserve"> </w:t>
      </w:r>
      <w:r w:rsidR="001140C6">
        <w:rPr>
          <w:rFonts w:ascii="Garamond" w:hAnsi="Garamond"/>
          <w:sz w:val="24"/>
          <w:szCs w:val="24"/>
        </w:rPr>
        <w:tab/>
      </w:r>
    </w:p>
    <w:sectPr w:rsidR="001140C6" w:rsidSect="001C379C">
      <w:pgSz w:w="16838" w:h="11906" w:orient="landscape"/>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0C" w:rsidRDefault="00A33F0C" w:rsidP="002B4055">
      <w:r>
        <w:separator/>
      </w:r>
    </w:p>
  </w:endnote>
  <w:endnote w:type="continuationSeparator" w:id="0">
    <w:p w:rsidR="00A33F0C" w:rsidRDefault="00A33F0C" w:rsidP="002B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KaiT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855822"/>
      <w:docPartObj>
        <w:docPartGallery w:val="Page Numbers (Bottom of Page)"/>
        <w:docPartUnique/>
      </w:docPartObj>
    </w:sdtPr>
    <w:sdtEndPr>
      <w:rPr>
        <w:noProof/>
      </w:rPr>
    </w:sdtEndPr>
    <w:sdtContent>
      <w:p w:rsidR="005821E0" w:rsidRDefault="005821E0">
        <w:pPr>
          <w:pStyle w:val="Footer"/>
          <w:jc w:val="center"/>
        </w:pPr>
        <w:r>
          <w:fldChar w:fldCharType="begin"/>
        </w:r>
        <w:r>
          <w:instrText xml:space="preserve"> PAGE   \* MERGEFORMAT </w:instrText>
        </w:r>
        <w:r>
          <w:fldChar w:fldCharType="separate"/>
        </w:r>
        <w:r w:rsidR="00F11862">
          <w:rPr>
            <w:noProof/>
          </w:rPr>
          <w:t>17</w:t>
        </w:r>
        <w:r>
          <w:rPr>
            <w:noProof/>
          </w:rPr>
          <w:fldChar w:fldCharType="end"/>
        </w:r>
      </w:p>
    </w:sdtContent>
  </w:sdt>
  <w:p w:rsidR="005821E0" w:rsidRDefault="00582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0C" w:rsidRDefault="00A33F0C" w:rsidP="002B4055">
      <w:r>
        <w:separator/>
      </w:r>
    </w:p>
  </w:footnote>
  <w:footnote w:type="continuationSeparator" w:id="0">
    <w:p w:rsidR="00A33F0C" w:rsidRDefault="00A33F0C" w:rsidP="002B4055">
      <w:r>
        <w:continuationSeparator/>
      </w:r>
    </w:p>
  </w:footnote>
  <w:footnote w:id="1">
    <w:p w:rsidR="005821E0" w:rsidRPr="009E2746" w:rsidRDefault="005821E0" w:rsidP="00E83CD4">
      <w:pPr>
        <w:pStyle w:val="FootnoteText"/>
        <w:jc w:val="both"/>
        <w:rPr>
          <w:rFonts w:ascii="Garamond" w:hAnsi="Garamond"/>
          <w:sz w:val="24"/>
          <w:szCs w:val="22"/>
        </w:rPr>
      </w:pPr>
      <w:r>
        <w:rPr>
          <w:rStyle w:val="FootnoteReference"/>
        </w:rPr>
        <w:t>*</w:t>
      </w:r>
      <w:r w:rsidRPr="009E2746">
        <w:rPr>
          <w:rFonts w:ascii="Garamond" w:hAnsi="Garamond"/>
          <w:sz w:val="24"/>
          <w:szCs w:val="22"/>
        </w:rPr>
        <w:t xml:space="preserve"> This research is supported by the </w:t>
      </w:r>
      <w:r>
        <w:rPr>
          <w:rFonts w:ascii="Garamond" w:hAnsi="Garamond"/>
          <w:sz w:val="24"/>
          <w:szCs w:val="22"/>
        </w:rPr>
        <w:t>Real Estate</w:t>
      </w:r>
      <w:r w:rsidRPr="009E2746">
        <w:rPr>
          <w:rFonts w:ascii="Garamond" w:hAnsi="Garamond"/>
          <w:sz w:val="24"/>
          <w:szCs w:val="22"/>
        </w:rPr>
        <w:t xml:space="preserve"> Research Institute</w:t>
      </w:r>
      <w:r>
        <w:rPr>
          <w:rFonts w:ascii="Garamond" w:hAnsi="Garamond"/>
          <w:sz w:val="24"/>
          <w:szCs w:val="22"/>
        </w:rPr>
        <w:t xml:space="preserve"> (RERI)</w:t>
      </w:r>
      <w:r w:rsidRPr="009E2746">
        <w:rPr>
          <w:rFonts w:ascii="Garamond" w:hAnsi="Garamond"/>
          <w:sz w:val="24"/>
          <w:szCs w:val="22"/>
        </w:rPr>
        <w:t xml:space="preserve"> and is based on the databases provided by the </w:t>
      </w:r>
      <w:r>
        <w:rPr>
          <w:rFonts w:ascii="Garamond" w:hAnsi="Garamond"/>
          <w:sz w:val="24"/>
          <w:szCs w:val="22"/>
        </w:rPr>
        <w:t>Real Capital Analytics (RCA)</w:t>
      </w:r>
      <w:r w:rsidRPr="009E2746">
        <w:rPr>
          <w:rFonts w:ascii="Garamond" w:hAnsi="Garamond"/>
          <w:sz w:val="24"/>
          <w:szCs w:val="22"/>
        </w:rPr>
        <w:t xml:space="preserve">. </w:t>
      </w:r>
    </w:p>
  </w:footnote>
  <w:footnote w:id="2">
    <w:p w:rsidR="005821E0" w:rsidRPr="009E2746" w:rsidRDefault="005821E0" w:rsidP="00E83CD4">
      <w:pPr>
        <w:pStyle w:val="FootnoteText"/>
        <w:jc w:val="both"/>
        <w:rPr>
          <w:rFonts w:ascii="Garamond" w:hAnsi="Garamond"/>
          <w:sz w:val="24"/>
          <w:szCs w:val="22"/>
        </w:rPr>
      </w:pPr>
      <w:r>
        <w:rPr>
          <w:rStyle w:val="FootnoteReference"/>
        </w:rPr>
        <w:t>**</w:t>
      </w:r>
      <w:r w:rsidRPr="009E2746">
        <w:rPr>
          <w:rFonts w:ascii="Garamond" w:hAnsi="Garamond"/>
          <w:sz w:val="24"/>
          <w:szCs w:val="22"/>
        </w:rPr>
        <w:t xml:space="preserve"> </w:t>
      </w:r>
      <w:r w:rsidRPr="009E2746">
        <w:rPr>
          <w:rFonts w:ascii="Garamond" w:hAnsi="Garamond"/>
          <w:i/>
          <w:sz w:val="24"/>
          <w:szCs w:val="22"/>
        </w:rPr>
        <w:t>Corresponding author:</w:t>
      </w:r>
      <w:r w:rsidRPr="009E2746">
        <w:rPr>
          <w:rFonts w:ascii="Garamond" w:hAnsi="Garamond"/>
          <w:sz w:val="24"/>
          <w:szCs w:val="22"/>
        </w:rPr>
        <w:t xml:space="preserve"> </w:t>
      </w:r>
      <w:hyperlink r:id="rId1" w:history="1">
        <w:r w:rsidRPr="009E2746">
          <w:rPr>
            <w:rStyle w:val="Hyperlink"/>
            <w:rFonts w:ascii="Garamond" w:hAnsi="Garamond"/>
            <w:sz w:val="24"/>
            <w:szCs w:val="22"/>
          </w:rPr>
          <w:t>a.nanda@reading.ac.uk</w:t>
        </w:r>
      </w:hyperlink>
      <w:r w:rsidRPr="009E2746">
        <w:rPr>
          <w:rFonts w:ascii="Garamond" w:hAnsi="Garamond"/>
          <w:sz w:val="24"/>
          <w:szCs w:val="22"/>
        </w:rPr>
        <w:t xml:space="preserve"> </w:t>
      </w:r>
    </w:p>
  </w:footnote>
  <w:footnote w:id="3">
    <w:p w:rsidR="005821E0" w:rsidRPr="00684886" w:rsidRDefault="005821E0">
      <w:pPr>
        <w:pStyle w:val="FootnoteText"/>
        <w:rPr>
          <w:rFonts w:ascii="Garamond" w:hAnsi="Garamond"/>
        </w:rPr>
      </w:pPr>
      <w:r w:rsidRPr="00684886">
        <w:rPr>
          <w:rStyle w:val="FootnoteReference"/>
          <w:rFonts w:ascii="Garamond" w:hAnsi="Garamond"/>
        </w:rPr>
        <w:footnoteRef/>
      </w:r>
      <w:r w:rsidRPr="00684886">
        <w:rPr>
          <w:rFonts w:ascii="Garamond" w:hAnsi="Garamond"/>
        </w:rPr>
        <w:t xml:space="preserve"> The 25% threshold is ad hoc but</w:t>
      </w:r>
      <w:r>
        <w:rPr>
          <w:rFonts w:ascii="Garamond" w:hAnsi="Garamond"/>
        </w:rPr>
        <w:t xml:space="preserve"> it </w:t>
      </w:r>
      <w:r w:rsidRPr="00684886">
        <w:rPr>
          <w:rFonts w:ascii="Garamond" w:hAnsi="Garamond"/>
        </w:rPr>
        <w:t>can capture statistically significant correlations.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476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7C6A87"/>
    <w:multiLevelType w:val="multilevel"/>
    <w:tmpl w:val="0809001F"/>
    <w:styleLink w:val="Style1"/>
    <w:lvl w:ilvl="0">
      <w:start w:val="1"/>
      <w:numFmt w:val="decimal"/>
      <w:lvlText w:val="%1."/>
      <w:lvlJc w:val="left"/>
      <w:pPr>
        <w:ind w:left="360" w:hanging="360"/>
      </w:pPr>
    </w:lvl>
    <w:lvl w:ilvl="1">
      <w:start w:val="1"/>
      <w:numFmt w:val="decimal"/>
      <w:lvlText w:val="%1.%2."/>
      <w:lvlJc w:val="left"/>
      <w:pPr>
        <w:ind w:left="432" w:hanging="432"/>
      </w:pPr>
      <w:rPr>
        <w:rFonts w:ascii="Garamond" w:hAnsi="Garamond"/>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14F55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65B4713"/>
    <w:multiLevelType w:val="multilevel"/>
    <w:tmpl w:val="0809001F"/>
    <w:numStyleLink w:val="Style1"/>
  </w:abstractNum>
  <w:abstractNum w:abstractNumId="4">
    <w:nsid w:val="507C5B16"/>
    <w:multiLevelType w:val="hybridMultilevel"/>
    <w:tmpl w:val="497455B0"/>
    <w:lvl w:ilvl="0" w:tplc="D4DC836C">
      <w:start w:val="1"/>
      <w:numFmt w:val="bullet"/>
      <w:lvlText w:val="•"/>
      <w:lvlJc w:val="left"/>
      <w:pPr>
        <w:tabs>
          <w:tab w:val="num" w:pos="720"/>
        </w:tabs>
        <w:ind w:left="720" w:hanging="360"/>
      </w:pPr>
      <w:rPr>
        <w:rFonts w:ascii="Arial" w:hAnsi="Arial" w:hint="default"/>
      </w:rPr>
    </w:lvl>
    <w:lvl w:ilvl="1" w:tplc="605E6CDE" w:tentative="1">
      <w:start w:val="1"/>
      <w:numFmt w:val="bullet"/>
      <w:lvlText w:val="•"/>
      <w:lvlJc w:val="left"/>
      <w:pPr>
        <w:tabs>
          <w:tab w:val="num" w:pos="1440"/>
        </w:tabs>
        <w:ind w:left="1440" w:hanging="360"/>
      </w:pPr>
      <w:rPr>
        <w:rFonts w:ascii="Arial" w:hAnsi="Arial" w:hint="default"/>
      </w:rPr>
    </w:lvl>
    <w:lvl w:ilvl="2" w:tplc="17D0C41C" w:tentative="1">
      <w:start w:val="1"/>
      <w:numFmt w:val="bullet"/>
      <w:lvlText w:val="•"/>
      <w:lvlJc w:val="left"/>
      <w:pPr>
        <w:tabs>
          <w:tab w:val="num" w:pos="2160"/>
        </w:tabs>
        <w:ind w:left="2160" w:hanging="360"/>
      </w:pPr>
      <w:rPr>
        <w:rFonts w:ascii="Arial" w:hAnsi="Arial" w:hint="default"/>
      </w:rPr>
    </w:lvl>
    <w:lvl w:ilvl="3" w:tplc="F6C0E628" w:tentative="1">
      <w:start w:val="1"/>
      <w:numFmt w:val="bullet"/>
      <w:lvlText w:val="•"/>
      <w:lvlJc w:val="left"/>
      <w:pPr>
        <w:tabs>
          <w:tab w:val="num" w:pos="2880"/>
        </w:tabs>
        <w:ind w:left="2880" w:hanging="360"/>
      </w:pPr>
      <w:rPr>
        <w:rFonts w:ascii="Arial" w:hAnsi="Arial" w:hint="default"/>
      </w:rPr>
    </w:lvl>
    <w:lvl w:ilvl="4" w:tplc="0BE24826" w:tentative="1">
      <w:start w:val="1"/>
      <w:numFmt w:val="bullet"/>
      <w:lvlText w:val="•"/>
      <w:lvlJc w:val="left"/>
      <w:pPr>
        <w:tabs>
          <w:tab w:val="num" w:pos="3600"/>
        </w:tabs>
        <w:ind w:left="3600" w:hanging="360"/>
      </w:pPr>
      <w:rPr>
        <w:rFonts w:ascii="Arial" w:hAnsi="Arial" w:hint="default"/>
      </w:rPr>
    </w:lvl>
    <w:lvl w:ilvl="5" w:tplc="357EB4B4" w:tentative="1">
      <w:start w:val="1"/>
      <w:numFmt w:val="bullet"/>
      <w:lvlText w:val="•"/>
      <w:lvlJc w:val="left"/>
      <w:pPr>
        <w:tabs>
          <w:tab w:val="num" w:pos="4320"/>
        </w:tabs>
        <w:ind w:left="4320" w:hanging="360"/>
      </w:pPr>
      <w:rPr>
        <w:rFonts w:ascii="Arial" w:hAnsi="Arial" w:hint="default"/>
      </w:rPr>
    </w:lvl>
    <w:lvl w:ilvl="6" w:tplc="D932D1D2" w:tentative="1">
      <w:start w:val="1"/>
      <w:numFmt w:val="bullet"/>
      <w:lvlText w:val="•"/>
      <w:lvlJc w:val="left"/>
      <w:pPr>
        <w:tabs>
          <w:tab w:val="num" w:pos="5040"/>
        </w:tabs>
        <w:ind w:left="5040" w:hanging="360"/>
      </w:pPr>
      <w:rPr>
        <w:rFonts w:ascii="Arial" w:hAnsi="Arial" w:hint="default"/>
      </w:rPr>
    </w:lvl>
    <w:lvl w:ilvl="7" w:tplc="106A1B68" w:tentative="1">
      <w:start w:val="1"/>
      <w:numFmt w:val="bullet"/>
      <w:lvlText w:val="•"/>
      <w:lvlJc w:val="left"/>
      <w:pPr>
        <w:tabs>
          <w:tab w:val="num" w:pos="5760"/>
        </w:tabs>
        <w:ind w:left="5760" w:hanging="360"/>
      </w:pPr>
      <w:rPr>
        <w:rFonts w:ascii="Arial" w:hAnsi="Arial" w:hint="default"/>
      </w:rPr>
    </w:lvl>
    <w:lvl w:ilvl="8" w:tplc="B0D8C3A4" w:tentative="1">
      <w:start w:val="1"/>
      <w:numFmt w:val="bullet"/>
      <w:lvlText w:val="•"/>
      <w:lvlJc w:val="left"/>
      <w:pPr>
        <w:tabs>
          <w:tab w:val="num" w:pos="6480"/>
        </w:tabs>
        <w:ind w:left="6480" w:hanging="360"/>
      </w:pPr>
      <w:rPr>
        <w:rFonts w:ascii="Arial" w:hAnsi="Arial" w:hint="default"/>
      </w:rPr>
    </w:lvl>
  </w:abstractNum>
  <w:abstractNum w:abstractNumId="5">
    <w:nsid w:val="58200680"/>
    <w:multiLevelType w:val="multilevel"/>
    <w:tmpl w:val="0809001F"/>
    <w:numStyleLink w:val="Style2"/>
  </w:abstractNum>
  <w:abstractNum w:abstractNumId="6">
    <w:nsid w:val="61E02BC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74763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B2D7033"/>
    <w:multiLevelType w:val="hybridMultilevel"/>
    <w:tmpl w:val="4CF0F382"/>
    <w:lvl w:ilvl="0" w:tplc="7CD4356A">
      <w:start w:val="1"/>
      <w:numFmt w:val="bullet"/>
      <w:lvlText w:val="•"/>
      <w:lvlJc w:val="left"/>
      <w:pPr>
        <w:tabs>
          <w:tab w:val="num" w:pos="720"/>
        </w:tabs>
        <w:ind w:left="720" w:hanging="360"/>
      </w:pPr>
      <w:rPr>
        <w:rFonts w:ascii="Arial" w:hAnsi="Arial" w:hint="default"/>
      </w:rPr>
    </w:lvl>
    <w:lvl w:ilvl="1" w:tplc="85023E54" w:tentative="1">
      <w:start w:val="1"/>
      <w:numFmt w:val="bullet"/>
      <w:lvlText w:val="•"/>
      <w:lvlJc w:val="left"/>
      <w:pPr>
        <w:tabs>
          <w:tab w:val="num" w:pos="1440"/>
        </w:tabs>
        <w:ind w:left="1440" w:hanging="360"/>
      </w:pPr>
      <w:rPr>
        <w:rFonts w:ascii="Arial" w:hAnsi="Arial" w:hint="default"/>
      </w:rPr>
    </w:lvl>
    <w:lvl w:ilvl="2" w:tplc="9A94A0BA" w:tentative="1">
      <w:start w:val="1"/>
      <w:numFmt w:val="bullet"/>
      <w:lvlText w:val="•"/>
      <w:lvlJc w:val="left"/>
      <w:pPr>
        <w:tabs>
          <w:tab w:val="num" w:pos="2160"/>
        </w:tabs>
        <w:ind w:left="2160" w:hanging="360"/>
      </w:pPr>
      <w:rPr>
        <w:rFonts w:ascii="Arial" w:hAnsi="Arial" w:hint="default"/>
      </w:rPr>
    </w:lvl>
    <w:lvl w:ilvl="3" w:tplc="8EBC2822" w:tentative="1">
      <w:start w:val="1"/>
      <w:numFmt w:val="bullet"/>
      <w:lvlText w:val="•"/>
      <w:lvlJc w:val="left"/>
      <w:pPr>
        <w:tabs>
          <w:tab w:val="num" w:pos="2880"/>
        </w:tabs>
        <w:ind w:left="2880" w:hanging="360"/>
      </w:pPr>
      <w:rPr>
        <w:rFonts w:ascii="Arial" w:hAnsi="Arial" w:hint="default"/>
      </w:rPr>
    </w:lvl>
    <w:lvl w:ilvl="4" w:tplc="EECCB00A" w:tentative="1">
      <w:start w:val="1"/>
      <w:numFmt w:val="bullet"/>
      <w:lvlText w:val="•"/>
      <w:lvlJc w:val="left"/>
      <w:pPr>
        <w:tabs>
          <w:tab w:val="num" w:pos="3600"/>
        </w:tabs>
        <w:ind w:left="3600" w:hanging="360"/>
      </w:pPr>
      <w:rPr>
        <w:rFonts w:ascii="Arial" w:hAnsi="Arial" w:hint="default"/>
      </w:rPr>
    </w:lvl>
    <w:lvl w:ilvl="5" w:tplc="DD689050" w:tentative="1">
      <w:start w:val="1"/>
      <w:numFmt w:val="bullet"/>
      <w:lvlText w:val="•"/>
      <w:lvlJc w:val="left"/>
      <w:pPr>
        <w:tabs>
          <w:tab w:val="num" w:pos="4320"/>
        </w:tabs>
        <w:ind w:left="4320" w:hanging="360"/>
      </w:pPr>
      <w:rPr>
        <w:rFonts w:ascii="Arial" w:hAnsi="Arial" w:hint="default"/>
      </w:rPr>
    </w:lvl>
    <w:lvl w:ilvl="6" w:tplc="C7B622F4" w:tentative="1">
      <w:start w:val="1"/>
      <w:numFmt w:val="bullet"/>
      <w:lvlText w:val="•"/>
      <w:lvlJc w:val="left"/>
      <w:pPr>
        <w:tabs>
          <w:tab w:val="num" w:pos="5040"/>
        </w:tabs>
        <w:ind w:left="5040" w:hanging="360"/>
      </w:pPr>
      <w:rPr>
        <w:rFonts w:ascii="Arial" w:hAnsi="Arial" w:hint="default"/>
      </w:rPr>
    </w:lvl>
    <w:lvl w:ilvl="7" w:tplc="67083568" w:tentative="1">
      <w:start w:val="1"/>
      <w:numFmt w:val="bullet"/>
      <w:lvlText w:val="•"/>
      <w:lvlJc w:val="left"/>
      <w:pPr>
        <w:tabs>
          <w:tab w:val="num" w:pos="5760"/>
        </w:tabs>
        <w:ind w:left="5760" w:hanging="360"/>
      </w:pPr>
      <w:rPr>
        <w:rFonts w:ascii="Arial" w:hAnsi="Arial" w:hint="default"/>
      </w:rPr>
    </w:lvl>
    <w:lvl w:ilvl="8" w:tplc="3E20DFAC" w:tentative="1">
      <w:start w:val="1"/>
      <w:numFmt w:val="bullet"/>
      <w:lvlText w:val="•"/>
      <w:lvlJc w:val="left"/>
      <w:pPr>
        <w:tabs>
          <w:tab w:val="num" w:pos="6480"/>
        </w:tabs>
        <w:ind w:left="6480" w:hanging="360"/>
      </w:pPr>
      <w:rPr>
        <w:rFonts w:ascii="Arial" w:hAnsi="Arial" w:hint="default"/>
      </w:rPr>
    </w:lvl>
  </w:abstractNum>
  <w:abstractNum w:abstractNumId="9">
    <w:nsid w:val="6F0867D2"/>
    <w:multiLevelType w:val="multilevel"/>
    <w:tmpl w:val="0809001F"/>
    <w:styleLink w:val="Style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B82741E"/>
    <w:multiLevelType w:val="multilevel"/>
    <w:tmpl w:val="0809001D"/>
    <w:styleLink w:val="Style3"/>
    <w:lvl w:ilvl="0">
      <w:start w:val="6"/>
      <w:numFmt w:val="decimal"/>
      <w:lvlText w:val="%1)"/>
      <w:lvlJc w:val="left"/>
      <w:pPr>
        <w:ind w:left="360" w:hanging="360"/>
      </w:pPr>
      <w:rPr>
        <w:rFonts w:ascii="Garamond" w:hAnsi="Garamond"/>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CDF4B05"/>
    <w:multiLevelType w:val="multilevel"/>
    <w:tmpl w:val="0809001D"/>
    <w:numStyleLink w:val="Style3"/>
  </w:abstractNum>
  <w:num w:numId="1">
    <w:abstractNumId w:val="8"/>
  </w:num>
  <w:num w:numId="2">
    <w:abstractNumId w:val="4"/>
  </w:num>
  <w:num w:numId="3">
    <w:abstractNumId w:val="7"/>
  </w:num>
  <w:num w:numId="4">
    <w:abstractNumId w:val="2"/>
  </w:num>
  <w:num w:numId="5">
    <w:abstractNumId w:val="0"/>
  </w:num>
  <w:num w:numId="6">
    <w:abstractNumId w:val="1"/>
  </w:num>
  <w:num w:numId="7">
    <w:abstractNumId w:val="3"/>
  </w:num>
  <w:num w:numId="8">
    <w:abstractNumId w:val="9"/>
  </w:num>
  <w:num w:numId="9">
    <w:abstractNumId w:val="5"/>
  </w:num>
  <w:num w:numId="10">
    <w:abstractNumId w:val="6"/>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B99"/>
    <w:rsid w:val="00002209"/>
    <w:rsid w:val="000072FC"/>
    <w:rsid w:val="00012BAB"/>
    <w:rsid w:val="00015C53"/>
    <w:rsid w:val="00023B99"/>
    <w:rsid w:val="0002604B"/>
    <w:rsid w:val="00031A2E"/>
    <w:rsid w:val="00037664"/>
    <w:rsid w:val="00065298"/>
    <w:rsid w:val="000865B7"/>
    <w:rsid w:val="000919F5"/>
    <w:rsid w:val="000975A9"/>
    <w:rsid w:val="000A1CA9"/>
    <w:rsid w:val="000D186C"/>
    <w:rsid w:val="000D5236"/>
    <w:rsid w:val="000D622E"/>
    <w:rsid w:val="000F20C1"/>
    <w:rsid w:val="000F5DCF"/>
    <w:rsid w:val="000F774E"/>
    <w:rsid w:val="0010333F"/>
    <w:rsid w:val="00111D84"/>
    <w:rsid w:val="001130E0"/>
    <w:rsid w:val="001140C6"/>
    <w:rsid w:val="00122B76"/>
    <w:rsid w:val="00123673"/>
    <w:rsid w:val="00127566"/>
    <w:rsid w:val="00144CEE"/>
    <w:rsid w:val="001564DF"/>
    <w:rsid w:val="001609AE"/>
    <w:rsid w:val="001629CA"/>
    <w:rsid w:val="00163B3E"/>
    <w:rsid w:val="001663F1"/>
    <w:rsid w:val="00173B41"/>
    <w:rsid w:val="001801C6"/>
    <w:rsid w:val="00185C97"/>
    <w:rsid w:val="001C379C"/>
    <w:rsid w:val="001C4E4C"/>
    <w:rsid w:val="001E3AC0"/>
    <w:rsid w:val="00204A15"/>
    <w:rsid w:val="00215932"/>
    <w:rsid w:val="00217464"/>
    <w:rsid w:val="00245730"/>
    <w:rsid w:val="002567C7"/>
    <w:rsid w:val="00262293"/>
    <w:rsid w:val="002663F3"/>
    <w:rsid w:val="002A42BC"/>
    <w:rsid w:val="002A4579"/>
    <w:rsid w:val="002B15AD"/>
    <w:rsid w:val="002B4055"/>
    <w:rsid w:val="002C5156"/>
    <w:rsid w:val="002C7DD6"/>
    <w:rsid w:val="002E0686"/>
    <w:rsid w:val="002F00B6"/>
    <w:rsid w:val="0030148D"/>
    <w:rsid w:val="00314E37"/>
    <w:rsid w:val="003222AA"/>
    <w:rsid w:val="003278CE"/>
    <w:rsid w:val="00330AAB"/>
    <w:rsid w:val="00333CCA"/>
    <w:rsid w:val="00346514"/>
    <w:rsid w:val="0035648B"/>
    <w:rsid w:val="0035746A"/>
    <w:rsid w:val="00372F52"/>
    <w:rsid w:val="0037647F"/>
    <w:rsid w:val="00382046"/>
    <w:rsid w:val="00392234"/>
    <w:rsid w:val="003A2AE2"/>
    <w:rsid w:val="003A6744"/>
    <w:rsid w:val="003B228A"/>
    <w:rsid w:val="003B39FE"/>
    <w:rsid w:val="003B5021"/>
    <w:rsid w:val="003C0D2E"/>
    <w:rsid w:val="003E1095"/>
    <w:rsid w:val="00402163"/>
    <w:rsid w:val="004041DC"/>
    <w:rsid w:val="00446DB0"/>
    <w:rsid w:val="004545C0"/>
    <w:rsid w:val="00455423"/>
    <w:rsid w:val="00464381"/>
    <w:rsid w:val="00484285"/>
    <w:rsid w:val="004A2764"/>
    <w:rsid w:val="004B56EC"/>
    <w:rsid w:val="004B73E7"/>
    <w:rsid w:val="004C32A0"/>
    <w:rsid w:val="004C7763"/>
    <w:rsid w:val="004D351C"/>
    <w:rsid w:val="004D796F"/>
    <w:rsid w:val="004E1763"/>
    <w:rsid w:val="004E5C9E"/>
    <w:rsid w:val="005007B3"/>
    <w:rsid w:val="005116B8"/>
    <w:rsid w:val="005238A1"/>
    <w:rsid w:val="0054586C"/>
    <w:rsid w:val="005524D6"/>
    <w:rsid w:val="00576DFB"/>
    <w:rsid w:val="005821E0"/>
    <w:rsid w:val="005961EA"/>
    <w:rsid w:val="005B0502"/>
    <w:rsid w:val="005D1264"/>
    <w:rsid w:val="005E641B"/>
    <w:rsid w:val="005E6AD3"/>
    <w:rsid w:val="005F7CDB"/>
    <w:rsid w:val="0061323D"/>
    <w:rsid w:val="00625044"/>
    <w:rsid w:val="0062760E"/>
    <w:rsid w:val="00631D19"/>
    <w:rsid w:val="00632C2A"/>
    <w:rsid w:val="006357F0"/>
    <w:rsid w:val="00640EA6"/>
    <w:rsid w:val="00655395"/>
    <w:rsid w:val="00662B89"/>
    <w:rsid w:val="00675915"/>
    <w:rsid w:val="00682108"/>
    <w:rsid w:val="00684886"/>
    <w:rsid w:val="00695735"/>
    <w:rsid w:val="006A36CA"/>
    <w:rsid w:val="006A66AE"/>
    <w:rsid w:val="006A6C83"/>
    <w:rsid w:val="006B2DC6"/>
    <w:rsid w:val="006B2E61"/>
    <w:rsid w:val="006B4A9E"/>
    <w:rsid w:val="006C6CF1"/>
    <w:rsid w:val="006D2ED8"/>
    <w:rsid w:val="006F5D6B"/>
    <w:rsid w:val="00710BFA"/>
    <w:rsid w:val="007227F0"/>
    <w:rsid w:val="00724A01"/>
    <w:rsid w:val="007341DA"/>
    <w:rsid w:val="00742081"/>
    <w:rsid w:val="007710E0"/>
    <w:rsid w:val="0077657E"/>
    <w:rsid w:val="007834CB"/>
    <w:rsid w:val="0078758F"/>
    <w:rsid w:val="0079220B"/>
    <w:rsid w:val="007A121C"/>
    <w:rsid w:val="007A1431"/>
    <w:rsid w:val="007A3CE7"/>
    <w:rsid w:val="007B407F"/>
    <w:rsid w:val="007B6175"/>
    <w:rsid w:val="007C3A4D"/>
    <w:rsid w:val="007D196D"/>
    <w:rsid w:val="007E1902"/>
    <w:rsid w:val="00800151"/>
    <w:rsid w:val="008013AB"/>
    <w:rsid w:val="0080260F"/>
    <w:rsid w:val="00802CB0"/>
    <w:rsid w:val="00802D0E"/>
    <w:rsid w:val="008136D3"/>
    <w:rsid w:val="00840D53"/>
    <w:rsid w:val="00847290"/>
    <w:rsid w:val="00856049"/>
    <w:rsid w:val="00867742"/>
    <w:rsid w:val="0087039B"/>
    <w:rsid w:val="00872E84"/>
    <w:rsid w:val="0088797F"/>
    <w:rsid w:val="00891038"/>
    <w:rsid w:val="008926CA"/>
    <w:rsid w:val="00894722"/>
    <w:rsid w:val="00896548"/>
    <w:rsid w:val="008A6FB0"/>
    <w:rsid w:val="008A731B"/>
    <w:rsid w:val="008B3943"/>
    <w:rsid w:val="008B3DE2"/>
    <w:rsid w:val="008B4969"/>
    <w:rsid w:val="008C3766"/>
    <w:rsid w:val="008C5226"/>
    <w:rsid w:val="008D139A"/>
    <w:rsid w:val="008D2CC5"/>
    <w:rsid w:val="008D7FA9"/>
    <w:rsid w:val="008E3433"/>
    <w:rsid w:val="008F1AFD"/>
    <w:rsid w:val="009061EC"/>
    <w:rsid w:val="009106AF"/>
    <w:rsid w:val="00922BFA"/>
    <w:rsid w:val="00925C79"/>
    <w:rsid w:val="009374A1"/>
    <w:rsid w:val="009440C8"/>
    <w:rsid w:val="00952271"/>
    <w:rsid w:val="0096146E"/>
    <w:rsid w:val="00977958"/>
    <w:rsid w:val="00990549"/>
    <w:rsid w:val="0099405B"/>
    <w:rsid w:val="009B401D"/>
    <w:rsid w:val="009B7E4A"/>
    <w:rsid w:val="009D3694"/>
    <w:rsid w:val="009D4CB3"/>
    <w:rsid w:val="009E3CE5"/>
    <w:rsid w:val="009F260C"/>
    <w:rsid w:val="00A046D1"/>
    <w:rsid w:val="00A06A57"/>
    <w:rsid w:val="00A171CA"/>
    <w:rsid w:val="00A221C7"/>
    <w:rsid w:val="00A2653D"/>
    <w:rsid w:val="00A33F0C"/>
    <w:rsid w:val="00A34E06"/>
    <w:rsid w:val="00A55A58"/>
    <w:rsid w:val="00A64F39"/>
    <w:rsid w:val="00A7403E"/>
    <w:rsid w:val="00A80EC9"/>
    <w:rsid w:val="00A87F32"/>
    <w:rsid w:val="00A94EB3"/>
    <w:rsid w:val="00A95ACF"/>
    <w:rsid w:val="00A96750"/>
    <w:rsid w:val="00AA56C0"/>
    <w:rsid w:val="00AB1A5A"/>
    <w:rsid w:val="00AC77E1"/>
    <w:rsid w:val="00AD02D9"/>
    <w:rsid w:val="00AD5395"/>
    <w:rsid w:val="00AD73B5"/>
    <w:rsid w:val="00AE5908"/>
    <w:rsid w:val="00AF2E79"/>
    <w:rsid w:val="00B15348"/>
    <w:rsid w:val="00B219DF"/>
    <w:rsid w:val="00B46A30"/>
    <w:rsid w:val="00B510CD"/>
    <w:rsid w:val="00B6061C"/>
    <w:rsid w:val="00B62E37"/>
    <w:rsid w:val="00B75055"/>
    <w:rsid w:val="00B80D8C"/>
    <w:rsid w:val="00B822D1"/>
    <w:rsid w:val="00B92C93"/>
    <w:rsid w:val="00BC72C6"/>
    <w:rsid w:val="00BC7C2E"/>
    <w:rsid w:val="00BE4B79"/>
    <w:rsid w:val="00BE6DE8"/>
    <w:rsid w:val="00C03108"/>
    <w:rsid w:val="00C1409C"/>
    <w:rsid w:val="00C22A4D"/>
    <w:rsid w:val="00C24F33"/>
    <w:rsid w:val="00C26638"/>
    <w:rsid w:val="00C31D9E"/>
    <w:rsid w:val="00C40D3F"/>
    <w:rsid w:val="00C60C9F"/>
    <w:rsid w:val="00C615B9"/>
    <w:rsid w:val="00C61DA4"/>
    <w:rsid w:val="00C63C90"/>
    <w:rsid w:val="00C663C9"/>
    <w:rsid w:val="00C833D1"/>
    <w:rsid w:val="00C86757"/>
    <w:rsid w:val="00C92401"/>
    <w:rsid w:val="00C97437"/>
    <w:rsid w:val="00CB0839"/>
    <w:rsid w:val="00CB1E07"/>
    <w:rsid w:val="00CB5D50"/>
    <w:rsid w:val="00CC25B9"/>
    <w:rsid w:val="00CC26EE"/>
    <w:rsid w:val="00CC4717"/>
    <w:rsid w:val="00CD2D18"/>
    <w:rsid w:val="00CE1BE6"/>
    <w:rsid w:val="00CE2A31"/>
    <w:rsid w:val="00CE437D"/>
    <w:rsid w:val="00CE4D9F"/>
    <w:rsid w:val="00CE746A"/>
    <w:rsid w:val="00D00678"/>
    <w:rsid w:val="00D02CB3"/>
    <w:rsid w:val="00D10CCF"/>
    <w:rsid w:val="00D11719"/>
    <w:rsid w:val="00D135B1"/>
    <w:rsid w:val="00D13B7B"/>
    <w:rsid w:val="00D147BB"/>
    <w:rsid w:val="00D2456B"/>
    <w:rsid w:val="00D35363"/>
    <w:rsid w:val="00D46796"/>
    <w:rsid w:val="00D474D8"/>
    <w:rsid w:val="00D5365C"/>
    <w:rsid w:val="00D70D56"/>
    <w:rsid w:val="00D8729D"/>
    <w:rsid w:val="00DA4D16"/>
    <w:rsid w:val="00DB23D2"/>
    <w:rsid w:val="00DB62AA"/>
    <w:rsid w:val="00DC42EF"/>
    <w:rsid w:val="00DD2D18"/>
    <w:rsid w:val="00DF2BC2"/>
    <w:rsid w:val="00E0318A"/>
    <w:rsid w:val="00E208F0"/>
    <w:rsid w:val="00E4300B"/>
    <w:rsid w:val="00E4459F"/>
    <w:rsid w:val="00E44BA6"/>
    <w:rsid w:val="00E45310"/>
    <w:rsid w:val="00E51FB1"/>
    <w:rsid w:val="00E573C5"/>
    <w:rsid w:val="00E62CCC"/>
    <w:rsid w:val="00E6300D"/>
    <w:rsid w:val="00E83CD4"/>
    <w:rsid w:val="00E94C12"/>
    <w:rsid w:val="00EA1F81"/>
    <w:rsid w:val="00EB02AA"/>
    <w:rsid w:val="00EB0CC3"/>
    <w:rsid w:val="00EB5348"/>
    <w:rsid w:val="00EB5B66"/>
    <w:rsid w:val="00EB7AEF"/>
    <w:rsid w:val="00EE0615"/>
    <w:rsid w:val="00EE3FD9"/>
    <w:rsid w:val="00F074CB"/>
    <w:rsid w:val="00F11862"/>
    <w:rsid w:val="00F14390"/>
    <w:rsid w:val="00F21392"/>
    <w:rsid w:val="00F234DE"/>
    <w:rsid w:val="00F248A2"/>
    <w:rsid w:val="00F315C4"/>
    <w:rsid w:val="00F361D3"/>
    <w:rsid w:val="00F40397"/>
    <w:rsid w:val="00F432C2"/>
    <w:rsid w:val="00F47341"/>
    <w:rsid w:val="00F56663"/>
    <w:rsid w:val="00F56D37"/>
    <w:rsid w:val="00F56DE6"/>
    <w:rsid w:val="00F56DFD"/>
    <w:rsid w:val="00F6256D"/>
    <w:rsid w:val="00F71A14"/>
    <w:rsid w:val="00F71E8D"/>
    <w:rsid w:val="00F75DA8"/>
    <w:rsid w:val="00F76D70"/>
    <w:rsid w:val="00F913F4"/>
    <w:rsid w:val="00FB2A57"/>
    <w:rsid w:val="00FC0D97"/>
    <w:rsid w:val="00FC2F8A"/>
    <w:rsid w:val="00FC5C3A"/>
    <w:rsid w:val="00FC6DE3"/>
    <w:rsid w:val="00FD2920"/>
    <w:rsid w:val="00FF4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B99"/>
  </w:style>
  <w:style w:type="paragraph" w:styleId="ListParagraph">
    <w:name w:val="List Paragraph"/>
    <w:basedOn w:val="Normal"/>
    <w:uiPriority w:val="34"/>
    <w:qFormat/>
    <w:rsid w:val="00FF4513"/>
    <w:pPr>
      <w:ind w:left="720"/>
      <w:contextualSpacing/>
    </w:pPr>
  </w:style>
  <w:style w:type="paragraph" w:styleId="FootnoteText">
    <w:name w:val="footnote text"/>
    <w:basedOn w:val="Normal"/>
    <w:link w:val="FootnoteTextChar"/>
    <w:unhideWhenUsed/>
    <w:rsid w:val="002B4055"/>
    <w:rPr>
      <w:sz w:val="20"/>
      <w:szCs w:val="20"/>
    </w:rPr>
  </w:style>
  <w:style w:type="character" w:customStyle="1" w:styleId="FootnoteTextChar">
    <w:name w:val="Footnote Text Char"/>
    <w:basedOn w:val="DefaultParagraphFont"/>
    <w:link w:val="FootnoteText"/>
    <w:rsid w:val="002B4055"/>
    <w:rPr>
      <w:sz w:val="20"/>
      <w:szCs w:val="20"/>
    </w:rPr>
  </w:style>
  <w:style w:type="character" w:styleId="FootnoteReference">
    <w:name w:val="footnote reference"/>
    <w:basedOn w:val="DefaultParagraphFont"/>
    <w:unhideWhenUsed/>
    <w:rsid w:val="002B4055"/>
    <w:rPr>
      <w:vertAlign w:val="superscript"/>
    </w:rPr>
  </w:style>
  <w:style w:type="character" w:styleId="Hyperlink">
    <w:name w:val="Hyperlink"/>
    <w:basedOn w:val="DefaultParagraphFont"/>
    <w:uiPriority w:val="99"/>
    <w:unhideWhenUsed/>
    <w:rsid w:val="005B0502"/>
    <w:rPr>
      <w:color w:val="0000FF" w:themeColor="hyperlink"/>
      <w:u w:val="single"/>
    </w:rPr>
  </w:style>
  <w:style w:type="paragraph" w:customStyle="1" w:styleId="ColorfulList-Accent12">
    <w:name w:val="Colorful List - Accent 12"/>
    <w:basedOn w:val="Normal"/>
    <w:qFormat/>
    <w:rsid w:val="005B0502"/>
    <w:pPr>
      <w:spacing w:after="200"/>
      <w:ind w:left="720"/>
      <w:contextualSpacing/>
    </w:pPr>
    <w:rPr>
      <w:rFonts w:ascii="Cambria" w:eastAsia="Times New Roman" w:hAnsi="Cambria" w:cs="Times New Roman"/>
      <w:sz w:val="24"/>
      <w:szCs w:val="24"/>
      <w:lang w:val="en-US"/>
    </w:rPr>
  </w:style>
  <w:style w:type="character" w:styleId="HTMLCite">
    <w:name w:val="HTML Cite"/>
    <w:uiPriority w:val="99"/>
    <w:rsid w:val="005B0502"/>
    <w:rPr>
      <w:i/>
      <w:iCs/>
    </w:rPr>
  </w:style>
  <w:style w:type="character" w:customStyle="1" w:styleId="cit-name-surname">
    <w:name w:val="cit-name-surname"/>
    <w:basedOn w:val="DefaultParagraphFont"/>
    <w:rsid w:val="005B0502"/>
  </w:style>
  <w:style w:type="character" w:customStyle="1" w:styleId="cit-lpage">
    <w:name w:val="cit-lpage"/>
    <w:basedOn w:val="DefaultParagraphFont"/>
    <w:rsid w:val="005B0502"/>
  </w:style>
  <w:style w:type="character" w:styleId="Emphasis">
    <w:name w:val="Emphasis"/>
    <w:uiPriority w:val="20"/>
    <w:qFormat/>
    <w:rsid w:val="005B0502"/>
    <w:rPr>
      <w:i/>
      <w:iCs/>
    </w:rPr>
  </w:style>
  <w:style w:type="paragraph" w:styleId="NormalWeb">
    <w:name w:val="Normal (Web)"/>
    <w:basedOn w:val="Normal"/>
    <w:uiPriority w:val="99"/>
    <w:rsid w:val="005B0502"/>
    <w:pPr>
      <w:spacing w:after="240"/>
    </w:pPr>
    <w:rPr>
      <w:rFonts w:ascii="Times New Roman" w:eastAsia="Times New Roman" w:hAnsi="Times New Roman" w:cs="Times New Roman"/>
      <w:sz w:val="18"/>
      <w:szCs w:val="18"/>
      <w:lang w:eastAsia="en-GB"/>
    </w:rPr>
  </w:style>
  <w:style w:type="character" w:customStyle="1" w:styleId="author">
    <w:name w:val="author"/>
    <w:rsid w:val="005B0502"/>
  </w:style>
  <w:style w:type="character" w:customStyle="1" w:styleId="pubyear">
    <w:name w:val="pubyear"/>
    <w:rsid w:val="005B0502"/>
  </w:style>
  <w:style w:type="character" w:customStyle="1" w:styleId="booktitle3">
    <w:name w:val="booktitle3"/>
    <w:rsid w:val="005B0502"/>
    <w:rPr>
      <w:i/>
      <w:iCs/>
    </w:rPr>
  </w:style>
  <w:style w:type="paragraph" w:customStyle="1" w:styleId="DefaultText">
    <w:name w:val="Default Text"/>
    <w:basedOn w:val="Normal"/>
    <w:uiPriority w:val="99"/>
    <w:rsid w:val="00640EA6"/>
    <w:pPr>
      <w:overflowPunct w:val="0"/>
      <w:autoSpaceDE w:val="0"/>
      <w:autoSpaceDN w:val="0"/>
      <w:adjustRightInd w:val="0"/>
      <w:textAlignment w:val="baseline"/>
    </w:pPr>
    <w:rPr>
      <w:rFonts w:ascii="Times New Roman" w:eastAsia="Times New Roman" w:hAnsi="Times New Roman" w:cs="Times New Roman"/>
      <w:sz w:val="24"/>
      <w:szCs w:val="20"/>
    </w:rPr>
  </w:style>
  <w:style w:type="character" w:styleId="SubtleEmphasis">
    <w:name w:val="Subtle Emphasis"/>
    <w:uiPriority w:val="19"/>
    <w:qFormat/>
    <w:rsid w:val="00640EA6"/>
    <w:rPr>
      <w:i/>
      <w:iCs/>
      <w:color w:val="808080"/>
    </w:rPr>
  </w:style>
  <w:style w:type="character" w:styleId="SubtleReference">
    <w:name w:val="Subtle Reference"/>
    <w:basedOn w:val="DefaultParagraphFont"/>
    <w:uiPriority w:val="31"/>
    <w:qFormat/>
    <w:rsid w:val="00640EA6"/>
    <w:rPr>
      <w:smallCaps/>
      <w:color w:val="C0504D" w:themeColor="accent2"/>
      <w:u w:val="single"/>
    </w:rPr>
  </w:style>
  <w:style w:type="numbering" w:customStyle="1" w:styleId="Style1">
    <w:name w:val="Style1"/>
    <w:uiPriority w:val="99"/>
    <w:rsid w:val="00D35363"/>
    <w:pPr>
      <w:numPr>
        <w:numId w:val="6"/>
      </w:numPr>
    </w:pPr>
  </w:style>
  <w:style w:type="numbering" w:customStyle="1" w:styleId="Style2">
    <w:name w:val="Style2"/>
    <w:uiPriority w:val="99"/>
    <w:rsid w:val="00D35363"/>
    <w:pPr>
      <w:numPr>
        <w:numId w:val="8"/>
      </w:numPr>
    </w:pPr>
  </w:style>
  <w:style w:type="numbering" w:customStyle="1" w:styleId="Style3">
    <w:name w:val="Style3"/>
    <w:uiPriority w:val="99"/>
    <w:rsid w:val="00D35363"/>
    <w:pPr>
      <w:numPr>
        <w:numId w:val="11"/>
      </w:numPr>
    </w:pPr>
  </w:style>
  <w:style w:type="character" w:customStyle="1" w:styleId="cit-article-title">
    <w:name w:val="cit-article-title"/>
    <w:basedOn w:val="DefaultParagraphFont"/>
    <w:rsid w:val="00742081"/>
  </w:style>
  <w:style w:type="character" w:customStyle="1" w:styleId="cit-pub-date">
    <w:name w:val="cit-pub-date"/>
    <w:basedOn w:val="DefaultParagraphFont"/>
    <w:rsid w:val="00742081"/>
  </w:style>
  <w:style w:type="character" w:customStyle="1" w:styleId="cit-vol4">
    <w:name w:val="cit-vol4"/>
    <w:basedOn w:val="DefaultParagraphFont"/>
    <w:rsid w:val="00742081"/>
  </w:style>
  <w:style w:type="character" w:customStyle="1" w:styleId="cit-fpage">
    <w:name w:val="cit-fpage"/>
    <w:basedOn w:val="DefaultParagraphFont"/>
    <w:rsid w:val="00742081"/>
  </w:style>
  <w:style w:type="paragraph" w:styleId="PlainText">
    <w:name w:val="Plain Text"/>
    <w:basedOn w:val="Normal"/>
    <w:link w:val="PlainTextChar"/>
    <w:uiPriority w:val="99"/>
    <w:unhideWhenUsed/>
    <w:rsid w:val="00AD02D9"/>
    <w:rPr>
      <w:rFonts w:ascii="Calibri" w:eastAsia="Times New Roman" w:hAnsi="Calibri"/>
      <w:sz w:val="24"/>
      <w:szCs w:val="21"/>
    </w:rPr>
  </w:style>
  <w:style w:type="character" w:customStyle="1" w:styleId="PlainTextChar">
    <w:name w:val="Plain Text Char"/>
    <w:basedOn w:val="DefaultParagraphFont"/>
    <w:link w:val="PlainText"/>
    <w:uiPriority w:val="99"/>
    <w:rsid w:val="00AD02D9"/>
    <w:rPr>
      <w:rFonts w:ascii="Calibri" w:eastAsia="Times New Roman" w:hAnsi="Calibri"/>
      <w:sz w:val="24"/>
      <w:szCs w:val="21"/>
    </w:rPr>
  </w:style>
  <w:style w:type="character" w:styleId="FollowedHyperlink">
    <w:name w:val="FollowedHyperlink"/>
    <w:basedOn w:val="DefaultParagraphFont"/>
    <w:uiPriority w:val="99"/>
    <w:semiHidden/>
    <w:unhideWhenUsed/>
    <w:rsid w:val="00E94C12"/>
    <w:rPr>
      <w:color w:val="800080" w:themeColor="followedHyperlink"/>
      <w:u w:val="single"/>
    </w:rPr>
  </w:style>
  <w:style w:type="character" w:styleId="PlaceholderText">
    <w:name w:val="Placeholder Text"/>
    <w:basedOn w:val="DefaultParagraphFont"/>
    <w:uiPriority w:val="99"/>
    <w:semiHidden/>
    <w:rsid w:val="00AA56C0"/>
    <w:rPr>
      <w:color w:val="808080"/>
    </w:rPr>
  </w:style>
  <w:style w:type="paragraph" w:styleId="BalloonText">
    <w:name w:val="Balloon Text"/>
    <w:basedOn w:val="Normal"/>
    <w:link w:val="BalloonTextChar"/>
    <w:uiPriority w:val="99"/>
    <w:semiHidden/>
    <w:unhideWhenUsed/>
    <w:rsid w:val="00AA56C0"/>
    <w:rPr>
      <w:rFonts w:ascii="Tahoma" w:hAnsi="Tahoma" w:cs="Tahoma"/>
      <w:sz w:val="16"/>
      <w:szCs w:val="16"/>
    </w:rPr>
  </w:style>
  <w:style w:type="character" w:customStyle="1" w:styleId="BalloonTextChar">
    <w:name w:val="Balloon Text Char"/>
    <w:basedOn w:val="DefaultParagraphFont"/>
    <w:link w:val="BalloonText"/>
    <w:uiPriority w:val="99"/>
    <w:semiHidden/>
    <w:rsid w:val="00AA56C0"/>
    <w:rPr>
      <w:rFonts w:ascii="Tahoma" w:hAnsi="Tahoma" w:cs="Tahoma"/>
      <w:sz w:val="16"/>
      <w:szCs w:val="16"/>
    </w:rPr>
  </w:style>
  <w:style w:type="paragraph" w:styleId="Subtitle">
    <w:name w:val="Subtitle"/>
    <w:basedOn w:val="Normal"/>
    <w:link w:val="SubtitleChar"/>
    <w:uiPriority w:val="99"/>
    <w:qFormat/>
    <w:rsid w:val="004E1763"/>
    <w:pPr>
      <w:jc w:val="both"/>
    </w:pPr>
    <w:rPr>
      <w:rFonts w:ascii="Times New Roman" w:eastAsia="Calibri" w:hAnsi="Times New Roman" w:cs="Times New Roman"/>
      <w:sz w:val="24"/>
      <w:szCs w:val="20"/>
    </w:rPr>
  </w:style>
  <w:style w:type="character" w:customStyle="1" w:styleId="SubtitleChar">
    <w:name w:val="Subtitle Char"/>
    <w:basedOn w:val="DefaultParagraphFont"/>
    <w:link w:val="Subtitle"/>
    <w:uiPriority w:val="99"/>
    <w:rsid w:val="004E1763"/>
    <w:rPr>
      <w:rFonts w:ascii="Times New Roman" w:eastAsia="Calibri" w:hAnsi="Times New Roman" w:cs="Times New Roman"/>
      <w:sz w:val="24"/>
      <w:szCs w:val="20"/>
    </w:rPr>
  </w:style>
  <w:style w:type="character" w:customStyle="1" w:styleId="personname">
    <w:name w:val="person_name"/>
    <w:uiPriority w:val="99"/>
    <w:rsid w:val="004E1763"/>
    <w:rPr>
      <w:rFonts w:cs="Times New Roman"/>
    </w:rPr>
  </w:style>
  <w:style w:type="paragraph" w:styleId="Header">
    <w:name w:val="header"/>
    <w:basedOn w:val="Normal"/>
    <w:link w:val="HeaderChar"/>
    <w:uiPriority w:val="99"/>
    <w:unhideWhenUsed/>
    <w:rsid w:val="00D8729D"/>
    <w:pPr>
      <w:tabs>
        <w:tab w:val="center" w:pos="4513"/>
        <w:tab w:val="right" w:pos="9026"/>
      </w:tabs>
    </w:pPr>
  </w:style>
  <w:style w:type="character" w:customStyle="1" w:styleId="HeaderChar">
    <w:name w:val="Header Char"/>
    <w:basedOn w:val="DefaultParagraphFont"/>
    <w:link w:val="Header"/>
    <w:uiPriority w:val="99"/>
    <w:rsid w:val="00D8729D"/>
  </w:style>
  <w:style w:type="paragraph" w:styleId="Footer">
    <w:name w:val="footer"/>
    <w:basedOn w:val="Normal"/>
    <w:link w:val="FooterChar"/>
    <w:uiPriority w:val="99"/>
    <w:unhideWhenUsed/>
    <w:rsid w:val="00D8729D"/>
    <w:pPr>
      <w:tabs>
        <w:tab w:val="center" w:pos="4513"/>
        <w:tab w:val="right" w:pos="9026"/>
      </w:tabs>
    </w:pPr>
  </w:style>
  <w:style w:type="character" w:customStyle="1" w:styleId="FooterChar">
    <w:name w:val="Footer Char"/>
    <w:basedOn w:val="DefaultParagraphFont"/>
    <w:link w:val="Footer"/>
    <w:uiPriority w:val="99"/>
    <w:rsid w:val="00D8729D"/>
  </w:style>
  <w:style w:type="character" w:styleId="CommentReference">
    <w:name w:val="annotation reference"/>
    <w:basedOn w:val="DefaultParagraphFont"/>
    <w:uiPriority w:val="99"/>
    <w:semiHidden/>
    <w:unhideWhenUsed/>
    <w:rsid w:val="00FC0D97"/>
    <w:rPr>
      <w:sz w:val="16"/>
      <w:szCs w:val="16"/>
    </w:rPr>
  </w:style>
  <w:style w:type="paragraph" w:styleId="CommentText">
    <w:name w:val="annotation text"/>
    <w:basedOn w:val="Normal"/>
    <w:link w:val="CommentTextChar"/>
    <w:uiPriority w:val="99"/>
    <w:semiHidden/>
    <w:unhideWhenUsed/>
    <w:rsid w:val="00FC0D97"/>
    <w:rPr>
      <w:sz w:val="20"/>
      <w:szCs w:val="20"/>
    </w:rPr>
  </w:style>
  <w:style w:type="character" w:customStyle="1" w:styleId="CommentTextChar">
    <w:name w:val="Comment Text Char"/>
    <w:basedOn w:val="DefaultParagraphFont"/>
    <w:link w:val="CommentText"/>
    <w:uiPriority w:val="99"/>
    <w:semiHidden/>
    <w:rsid w:val="00FC0D97"/>
    <w:rPr>
      <w:sz w:val="20"/>
      <w:szCs w:val="20"/>
    </w:rPr>
  </w:style>
  <w:style w:type="paragraph" w:styleId="CommentSubject">
    <w:name w:val="annotation subject"/>
    <w:basedOn w:val="CommentText"/>
    <w:next w:val="CommentText"/>
    <w:link w:val="CommentSubjectChar"/>
    <w:uiPriority w:val="99"/>
    <w:semiHidden/>
    <w:unhideWhenUsed/>
    <w:rsid w:val="00FC0D97"/>
    <w:rPr>
      <w:b/>
      <w:bCs/>
    </w:rPr>
  </w:style>
  <w:style w:type="character" w:customStyle="1" w:styleId="CommentSubjectChar">
    <w:name w:val="Comment Subject Char"/>
    <w:basedOn w:val="CommentTextChar"/>
    <w:link w:val="CommentSubject"/>
    <w:uiPriority w:val="99"/>
    <w:semiHidden/>
    <w:rsid w:val="00FC0D9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3B99"/>
  </w:style>
  <w:style w:type="paragraph" w:styleId="ListParagraph">
    <w:name w:val="List Paragraph"/>
    <w:basedOn w:val="Normal"/>
    <w:uiPriority w:val="34"/>
    <w:qFormat/>
    <w:rsid w:val="00FF4513"/>
    <w:pPr>
      <w:ind w:left="720"/>
      <w:contextualSpacing/>
    </w:pPr>
  </w:style>
  <w:style w:type="paragraph" w:styleId="FootnoteText">
    <w:name w:val="footnote text"/>
    <w:basedOn w:val="Normal"/>
    <w:link w:val="FootnoteTextChar"/>
    <w:unhideWhenUsed/>
    <w:rsid w:val="002B4055"/>
    <w:rPr>
      <w:sz w:val="20"/>
      <w:szCs w:val="20"/>
    </w:rPr>
  </w:style>
  <w:style w:type="character" w:customStyle="1" w:styleId="FootnoteTextChar">
    <w:name w:val="Footnote Text Char"/>
    <w:basedOn w:val="DefaultParagraphFont"/>
    <w:link w:val="FootnoteText"/>
    <w:rsid w:val="002B4055"/>
    <w:rPr>
      <w:sz w:val="20"/>
      <w:szCs w:val="20"/>
    </w:rPr>
  </w:style>
  <w:style w:type="character" w:styleId="FootnoteReference">
    <w:name w:val="footnote reference"/>
    <w:basedOn w:val="DefaultParagraphFont"/>
    <w:unhideWhenUsed/>
    <w:rsid w:val="002B4055"/>
    <w:rPr>
      <w:vertAlign w:val="superscript"/>
    </w:rPr>
  </w:style>
  <w:style w:type="character" w:styleId="Hyperlink">
    <w:name w:val="Hyperlink"/>
    <w:basedOn w:val="DefaultParagraphFont"/>
    <w:uiPriority w:val="99"/>
    <w:unhideWhenUsed/>
    <w:rsid w:val="005B0502"/>
    <w:rPr>
      <w:color w:val="0000FF" w:themeColor="hyperlink"/>
      <w:u w:val="single"/>
    </w:rPr>
  </w:style>
  <w:style w:type="paragraph" w:customStyle="1" w:styleId="ColorfulList-Accent12">
    <w:name w:val="Colorful List - Accent 12"/>
    <w:basedOn w:val="Normal"/>
    <w:qFormat/>
    <w:rsid w:val="005B0502"/>
    <w:pPr>
      <w:spacing w:after="200"/>
      <w:ind w:left="720"/>
      <w:contextualSpacing/>
    </w:pPr>
    <w:rPr>
      <w:rFonts w:ascii="Cambria" w:eastAsia="Times New Roman" w:hAnsi="Cambria" w:cs="Times New Roman"/>
      <w:sz w:val="24"/>
      <w:szCs w:val="24"/>
      <w:lang w:val="en-US"/>
    </w:rPr>
  </w:style>
  <w:style w:type="character" w:styleId="HTMLCite">
    <w:name w:val="HTML Cite"/>
    <w:uiPriority w:val="99"/>
    <w:rsid w:val="005B0502"/>
    <w:rPr>
      <w:i/>
      <w:iCs/>
    </w:rPr>
  </w:style>
  <w:style w:type="character" w:customStyle="1" w:styleId="cit-name-surname">
    <w:name w:val="cit-name-surname"/>
    <w:basedOn w:val="DefaultParagraphFont"/>
    <w:rsid w:val="005B0502"/>
  </w:style>
  <w:style w:type="character" w:customStyle="1" w:styleId="cit-lpage">
    <w:name w:val="cit-lpage"/>
    <w:basedOn w:val="DefaultParagraphFont"/>
    <w:rsid w:val="005B0502"/>
  </w:style>
  <w:style w:type="character" w:styleId="Emphasis">
    <w:name w:val="Emphasis"/>
    <w:uiPriority w:val="20"/>
    <w:qFormat/>
    <w:rsid w:val="005B0502"/>
    <w:rPr>
      <w:i/>
      <w:iCs/>
    </w:rPr>
  </w:style>
  <w:style w:type="paragraph" w:styleId="NormalWeb">
    <w:name w:val="Normal (Web)"/>
    <w:basedOn w:val="Normal"/>
    <w:uiPriority w:val="99"/>
    <w:rsid w:val="005B0502"/>
    <w:pPr>
      <w:spacing w:after="240"/>
    </w:pPr>
    <w:rPr>
      <w:rFonts w:ascii="Times New Roman" w:eastAsia="Times New Roman" w:hAnsi="Times New Roman" w:cs="Times New Roman"/>
      <w:sz w:val="18"/>
      <w:szCs w:val="18"/>
      <w:lang w:eastAsia="en-GB"/>
    </w:rPr>
  </w:style>
  <w:style w:type="character" w:customStyle="1" w:styleId="author">
    <w:name w:val="author"/>
    <w:rsid w:val="005B0502"/>
  </w:style>
  <w:style w:type="character" w:customStyle="1" w:styleId="pubyear">
    <w:name w:val="pubyear"/>
    <w:rsid w:val="005B0502"/>
  </w:style>
  <w:style w:type="character" w:customStyle="1" w:styleId="booktitle3">
    <w:name w:val="booktitle3"/>
    <w:rsid w:val="005B0502"/>
    <w:rPr>
      <w:i/>
      <w:iCs/>
    </w:rPr>
  </w:style>
  <w:style w:type="paragraph" w:customStyle="1" w:styleId="DefaultText">
    <w:name w:val="Default Text"/>
    <w:basedOn w:val="Normal"/>
    <w:uiPriority w:val="99"/>
    <w:rsid w:val="00640EA6"/>
    <w:pPr>
      <w:overflowPunct w:val="0"/>
      <w:autoSpaceDE w:val="0"/>
      <w:autoSpaceDN w:val="0"/>
      <w:adjustRightInd w:val="0"/>
      <w:textAlignment w:val="baseline"/>
    </w:pPr>
    <w:rPr>
      <w:rFonts w:ascii="Times New Roman" w:eastAsia="Times New Roman" w:hAnsi="Times New Roman" w:cs="Times New Roman"/>
      <w:sz w:val="24"/>
      <w:szCs w:val="20"/>
    </w:rPr>
  </w:style>
  <w:style w:type="character" w:styleId="SubtleEmphasis">
    <w:name w:val="Subtle Emphasis"/>
    <w:uiPriority w:val="19"/>
    <w:qFormat/>
    <w:rsid w:val="00640EA6"/>
    <w:rPr>
      <w:i/>
      <w:iCs/>
      <w:color w:val="808080"/>
    </w:rPr>
  </w:style>
  <w:style w:type="character" w:styleId="SubtleReference">
    <w:name w:val="Subtle Reference"/>
    <w:basedOn w:val="DefaultParagraphFont"/>
    <w:uiPriority w:val="31"/>
    <w:qFormat/>
    <w:rsid w:val="00640EA6"/>
    <w:rPr>
      <w:smallCaps/>
      <w:color w:val="C0504D" w:themeColor="accent2"/>
      <w:u w:val="single"/>
    </w:rPr>
  </w:style>
  <w:style w:type="numbering" w:customStyle="1" w:styleId="Style1">
    <w:name w:val="Style1"/>
    <w:uiPriority w:val="99"/>
    <w:rsid w:val="00D35363"/>
    <w:pPr>
      <w:numPr>
        <w:numId w:val="6"/>
      </w:numPr>
    </w:pPr>
  </w:style>
  <w:style w:type="numbering" w:customStyle="1" w:styleId="Style2">
    <w:name w:val="Style2"/>
    <w:uiPriority w:val="99"/>
    <w:rsid w:val="00D35363"/>
    <w:pPr>
      <w:numPr>
        <w:numId w:val="8"/>
      </w:numPr>
    </w:pPr>
  </w:style>
  <w:style w:type="numbering" w:customStyle="1" w:styleId="Style3">
    <w:name w:val="Style3"/>
    <w:uiPriority w:val="99"/>
    <w:rsid w:val="00D35363"/>
    <w:pPr>
      <w:numPr>
        <w:numId w:val="11"/>
      </w:numPr>
    </w:pPr>
  </w:style>
  <w:style w:type="character" w:customStyle="1" w:styleId="cit-article-title">
    <w:name w:val="cit-article-title"/>
    <w:basedOn w:val="DefaultParagraphFont"/>
    <w:rsid w:val="00742081"/>
  </w:style>
  <w:style w:type="character" w:customStyle="1" w:styleId="cit-pub-date">
    <w:name w:val="cit-pub-date"/>
    <w:basedOn w:val="DefaultParagraphFont"/>
    <w:rsid w:val="00742081"/>
  </w:style>
  <w:style w:type="character" w:customStyle="1" w:styleId="cit-vol4">
    <w:name w:val="cit-vol4"/>
    <w:basedOn w:val="DefaultParagraphFont"/>
    <w:rsid w:val="00742081"/>
  </w:style>
  <w:style w:type="character" w:customStyle="1" w:styleId="cit-fpage">
    <w:name w:val="cit-fpage"/>
    <w:basedOn w:val="DefaultParagraphFont"/>
    <w:rsid w:val="00742081"/>
  </w:style>
  <w:style w:type="paragraph" w:styleId="PlainText">
    <w:name w:val="Plain Text"/>
    <w:basedOn w:val="Normal"/>
    <w:link w:val="PlainTextChar"/>
    <w:uiPriority w:val="99"/>
    <w:unhideWhenUsed/>
    <w:rsid w:val="00AD02D9"/>
    <w:rPr>
      <w:rFonts w:ascii="Calibri" w:eastAsia="Times New Roman" w:hAnsi="Calibri"/>
      <w:sz w:val="24"/>
      <w:szCs w:val="21"/>
    </w:rPr>
  </w:style>
  <w:style w:type="character" w:customStyle="1" w:styleId="PlainTextChar">
    <w:name w:val="Plain Text Char"/>
    <w:basedOn w:val="DefaultParagraphFont"/>
    <w:link w:val="PlainText"/>
    <w:uiPriority w:val="99"/>
    <w:rsid w:val="00AD02D9"/>
    <w:rPr>
      <w:rFonts w:ascii="Calibri" w:eastAsia="Times New Roman" w:hAnsi="Calibri"/>
      <w:sz w:val="24"/>
      <w:szCs w:val="21"/>
    </w:rPr>
  </w:style>
  <w:style w:type="character" w:styleId="FollowedHyperlink">
    <w:name w:val="FollowedHyperlink"/>
    <w:basedOn w:val="DefaultParagraphFont"/>
    <w:uiPriority w:val="99"/>
    <w:semiHidden/>
    <w:unhideWhenUsed/>
    <w:rsid w:val="00E94C12"/>
    <w:rPr>
      <w:color w:val="800080" w:themeColor="followedHyperlink"/>
      <w:u w:val="single"/>
    </w:rPr>
  </w:style>
  <w:style w:type="character" w:styleId="PlaceholderText">
    <w:name w:val="Placeholder Text"/>
    <w:basedOn w:val="DefaultParagraphFont"/>
    <w:uiPriority w:val="99"/>
    <w:semiHidden/>
    <w:rsid w:val="00AA56C0"/>
    <w:rPr>
      <w:color w:val="808080"/>
    </w:rPr>
  </w:style>
  <w:style w:type="paragraph" w:styleId="BalloonText">
    <w:name w:val="Balloon Text"/>
    <w:basedOn w:val="Normal"/>
    <w:link w:val="BalloonTextChar"/>
    <w:uiPriority w:val="99"/>
    <w:semiHidden/>
    <w:unhideWhenUsed/>
    <w:rsid w:val="00AA56C0"/>
    <w:rPr>
      <w:rFonts w:ascii="Tahoma" w:hAnsi="Tahoma" w:cs="Tahoma"/>
      <w:sz w:val="16"/>
      <w:szCs w:val="16"/>
    </w:rPr>
  </w:style>
  <w:style w:type="character" w:customStyle="1" w:styleId="BalloonTextChar">
    <w:name w:val="Balloon Text Char"/>
    <w:basedOn w:val="DefaultParagraphFont"/>
    <w:link w:val="BalloonText"/>
    <w:uiPriority w:val="99"/>
    <w:semiHidden/>
    <w:rsid w:val="00AA56C0"/>
    <w:rPr>
      <w:rFonts w:ascii="Tahoma" w:hAnsi="Tahoma" w:cs="Tahoma"/>
      <w:sz w:val="16"/>
      <w:szCs w:val="16"/>
    </w:rPr>
  </w:style>
  <w:style w:type="paragraph" w:styleId="Subtitle">
    <w:name w:val="Subtitle"/>
    <w:basedOn w:val="Normal"/>
    <w:link w:val="SubtitleChar"/>
    <w:uiPriority w:val="99"/>
    <w:qFormat/>
    <w:rsid w:val="004E1763"/>
    <w:pPr>
      <w:jc w:val="both"/>
    </w:pPr>
    <w:rPr>
      <w:rFonts w:ascii="Times New Roman" w:eastAsia="Calibri" w:hAnsi="Times New Roman" w:cs="Times New Roman"/>
      <w:sz w:val="24"/>
      <w:szCs w:val="20"/>
    </w:rPr>
  </w:style>
  <w:style w:type="character" w:customStyle="1" w:styleId="SubtitleChar">
    <w:name w:val="Subtitle Char"/>
    <w:basedOn w:val="DefaultParagraphFont"/>
    <w:link w:val="Subtitle"/>
    <w:uiPriority w:val="99"/>
    <w:rsid w:val="004E1763"/>
    <w:rPr>
      <w:rFonts w:ascii="Times New Roman" w:eastAsia="Calibri" w:hAnsi="Times New Roman" w:cs="Times New Roman"/>
      <w:sz w:val="24"/>
      <w:szCs w:val="20"/>
    </w:rPr>
  </w:style>
  <w:style w:type="character" w:customStyle="1" w:styleId="personname">
    <w:name w:val="person_name"/>
    <w:uiPriority w:val="99"/>
    <w:rsid w:val="004E1763"/>
    <w:rPr>
      <w:rFonts w:cs="Times New Roman"/>
    </w:rPr>
  </w:style>
  <w:style w:type="paragraph" w:styleId="Header">
    <w:name w:val="header"/>
    <w:basedOn w:val="Normal"/>
    <w:link w:val="HeaderChar"/>
    <w:uiPriority w:val="99"/>
    <w:unhideWhenUsed/>
    <w:rsid w:val="00D8729D"/>
    <w:pPr>
      <w:tabs>
        <w:tab w:val="center" w:pos="4513"/>
        <w:tab w:val="right" w:pos="9026"/>
      </w:tabs>
    </w:pPr>
  </w:style>
  <w:style w:type="character" w:customStyle="1" w:styleId="HeaderChar">
    <w:name w:val="Header Char"/>
    <w:basedOn w:val="DefaultParagraphFont"/>
    <w:link w:val="Header"/>
    <w:uiPriority w:val="99"/>
    <w:rsid w:val="00D8729D"/>
  </w:style>
  <w:style w:type="paragraph" w:styleId="Footer">
    <w:name w:val="footer"/>
    <w:basedOn w:val="Normal"/>
    <w:link w:val="FooterChar"/>
    <w:uiPriority w:val="99"/>
    <w:unhideWhenUsed/>
    <w:rsid w:val="00D8729D"/>
    <w:pPr>
      <w:tabs>
        <w:tab w:val="center" w:pos="4513"/>
        <w:tab w:val="right" w:pos="9026"/>
      </w:tabs>
    </w:pPr>
  </w:style>
  <w:style w:type="character" w:customStyle="1" w:styleId="FooterChar">
    <w:name w:val="Footer Char"/>
    <w:basedOn w:val="DefaultParagraphFont"/>
    <w:link w:val="Footer"/>
    <w:uiPriority w:val="99"/>
    <w:rsid w:val="00D8729D"/>
  </w:style>
  <w:style w:type="character" w:styleId="CommentReference">
    <w:name w:val="annotation reference"/>
    <w:basedOn w:val="DefaultParagraphFont"/>
    <w:uiPriority w:val="99"/>
    <w:semiHidden/>
    <w:unhideWhenUsed/>
    <w:rsid w:val="00FC0D97"/>
    <w:rPr>
      <w:sz w:val="16"/>
      <w:szCs w:val="16"/>
    </w:rPr>
  </w:style>
  <w:style w:type="paragraph" w:styleId="CommentText">
    <w:name w:val="annotation text"/>
    <w:basedOn w:val="Normal"/>
    <w:link w:val="CommentTextChar"/>
    <w:uiPriority w:val="99"/>
    <w:semiHidden/>
    <w:unhideWhenUsed/>
    <w:rsid w:val="00FC0D97"/>
    <w:rPr>
      <w:sz w:val="20"/>
      <w:szCs w:val="20"/>
    </w:rPr>
  </w:style>
  <w:style w:type="character" w:customStyle="1" w:styleId="CommentTextChar">
    <w:name w:val="Comment Text Char"/>
    <w:basedOn w:val="DefaultParagraphFont"/>
    <w:link w:val="CommentText"/>
    <w:uiPriority w:val="99"/>
    <w:semiHidden/>
    <w:rsid w:val="00FC0D97"/>
    <w:rPr>
      <w:sz w:val="20"/>
      <w:szCs w:val="20"/>
    </w:rPr>
  </w:style>
  <w:style w:type="paragraph" w:styleId="CommentSubject">
    <w:name w:val="annotation subject"/>
    <w:basedOn w:val="CommentText"/>
    <w:next w:val="CommentText"/>
    <w:link w:val="CommentSubjectChar"/>
    <w:uiPriority w:val="99"/>
    <w:semiHidden/>
    <w:unhideWhenUsed/>
    <w:rsid w:val="00FC0D97"/>
    <w:rPr>
      <w:b/>
      <w:bCs/>
    </w:rPr>
  </w:style>
  <w:style w:type="character" w:customStyle="1" w:styleId="CommentSubjectChar">
    <w:name w:val="Comment Subject Char"/>
    <w:basedOn w:val="CommentTextChar"/>
    <w:link w:val="CommentSubject"/>
    <w:uiPriority w:val="99"/>
    <w:semiHidden/>
    <w:rsid w:val="00FC0D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25817">
      <w:bodyDiv w:val="1"/>
      <w:marLeft w:val="0"/>
      <w:marRight w:val="0"/>
      <w:marTop w:val="0"/>
      <w:marBottom w:val="0"/>
      <w:divBdr>
        <w:top w:val="none" w:sz="0" w:space="0" w:color="auto"/>
        <w:left w:val="none" w:sz="0" w:space="0" w:color="auto"/>
        <w:bottom w:val="none" w:sz="0" w:space="0" w:color="auto"/>
        <w:right w:val="none" w:sz="0" w:space="0" w:color="auto"/>
      </w:divBdr>
      <w:divsChild>
        <w:div w:id="520049773">
          <w:marLeft w:val="547"/>
          <w:marRight w:val="0"/>
          <w:marTop w:val="115"/>
          <w:marBottom w:val="0"/>
          <w:divBdr>
            <w:top w:val="none" w:sz="0" w:space="0" w:color="auto"/>
            <w:left w:val="none" w:sz="0" w:space="0" w:color="auto"/>
            <w:bottom w:val="none" w:sz="0" w:space="0" w:color="auto"/>
            <w:right w:val="none" w:sz="0" w:space="0" w:color="auto"/>
          </w:divBdr>
        </w:div>
      </w:divsChild>
    </w:div>
    <w:div w:id="217742778">
      <w:bodyDiv w:val="1"/>
      <w:marLeft w:val="0"/>
      <w:marRight w:val="0"/>
      <w:marTop w:val="0"/>
      <w:marBottom w:val="0"/>
      <w:divBdr>
        <w:top w:val="none" w:sz="0" w:space="0" w:color="auto"/>
        <w:left w:val="none" w:sz="0" w:space="0" w:color="auto"/>
        <w:bottom w:val="none" w:sz="0" w:space="0" w:color="auto"/>
        <w:right w:val="none" w:sz="0" w:space="0" w:color="auto"/>
      </w:divBdr>
    </w:div>
    <w:div w:id="242298315">
      <w:bodyDiv w:val="1"/>
      <w:marLeft w:val="0"/>
      <w:marRight w:val="0"/>
      <w:marTop w:val="0"/>
      <w:marBottom w:val="0"/>
      <w:divBdr>
        <w:top w:val="none" w:sz="0" w:space="0" w:color="auto"/>
        <w:left w:val="none" w:sz="0" w:space="0" w:color="auto"/>
        <w:bottom w:val="none" w:sz="0" w:space="0" w:color="auto"/>
        <w:right w:val="none" w:sz="0" w:space="0" w:color="auto"/>
      </w:divBdr>
      <w:divsChild>
        <w:div w:id="1957905243">
          <w:marLeft w:val="0"/>
          <w:marRight w:val="0"/>
          <w:marTop w:val="0"/>
          <w:marBottom w:val="0"/>
          <w:divBdr>
            <w:top w:val="none" w:sz="0" w:space="0" w:color="auto"/>
            <w:left w:val="none" w:sz="0" w:space="0" w:color="auto"/>
            <w:bottom w:val="none" w:sz="0" w:space="0" w:color="auto"/>
            <w:right w:val="none" w:sz="0" w:space="0" w:color="auto"/>
          </w:divBdr>
        </w:div>
      </w:divsChild>
    </w:div>
    <w:div w:id="261845257">
      <w:bodyDiv w:val="1"/>
      <w:marLeft w:val="0"/>
      <w:marRight w:val="0"/>
      <w:marTop w:val="0"/>
      <w:marBottom w:val="0"/>
      <w:divBdr>
        <w:top w:val="none" w:sz="0" w:space="0" w:color="auto"/>
        <w:left w:val="none" w:sz="0" w:space="0" w:color="auto"/>
        <w:bottom w:val="none" w:sz="0" w:space="0" w:color="auto"/>
        <w:right w:val="none" w:sz="0" w:space="0" w:color="auto"/>
      </w:divBdr>
      <w:divsChild>
        <w:div w:id="712079325">
          <w:marLeft w:val="0"/>
          <w:marRight w:val="0"/>
          <w:marTop w:val="0"/>
          <w:marBottom w:val="0"/>
          <w:divBdr>
            <w:top w:val="none" w:sz="0" w:space="0" w:color="auto"/>
            <w:left w:val="none" w:sz="0" w:space="0" w:color="auto"/>
            <w:bottom w:val="none" w:sz="0" w:space="0" w:color="auto"/>
            <w:right w:val="none" w:sz="0" w:space="0" w:color="auto"/>
          </w:divBdr>
        </w:div>
      </w:divsChild>
    </w:div>
    <w:div w:id="277378848">
      <w:bodyDiv w:val="1"/>
      <w:marLeft w:val="0"/>
      <w:marRight w:val="0"/>
      <w:marTop w:val="0"/>
      <w:marBottom w:val="0"/>
      <w:divBdr>
        <w:top w:val="none" w:sz="0" w:space="0" w:color="auto"/>
        <w:left w:val="none" w:sz="0" w:space="0" w:color="auto"/>
        <w:bottom w:val="none" w:sz="0" w:space="0" w:color="auto"/>
        <w:right w:val="none" w:sz="0" w:space="0" w:color="auto"/>
      </w:divBdr>
      <w:divsChild>
        <w:div w:id="1586844651">
          <w:marLeft w:val="0"/>
          <w:marRight w:val="0"/>
          <w:marTop w:val="0"/>
          <w:marBottom w:val="0"/>
          <w:divBdr>
            <w:top w:val="none" w:sz="0" w:space="0" w:color="auto"/>
            <w:left w:val="none" w:sz="0" w:space="0" w:color="auto"/>
            <w:bottom w:val="none" w:sz="0" w:space="0" w:color="auto"/>
            <w:right w:val="none" w:sz="0" w:space="0" w:color="auto"/>
          </w:divBdr>
        </w:div>
      </w:divsChild>
    </w:div>
    <w:div w:id="284582682">
      <w:bodyDiv w:val="1"/>
      <w:marLeft w:val="0"/>
      <w:marRight w:val="0"/>
      <w:marTop w:val="0"/>
      <w:marBottom w:val="0"/>
      <w:divBdr>
        <w:top w:val="none" w:sz="0" w:space="0" w:color="auto"/>
        <w:left w:val="none" w:sz="0" w:space="0" w:color="auto"/>
        <w:bottom w:val="none" w:sz="0" w:space="0" w:color="auto"/>
        <w:right w:val="none" w:sz="0" w:space="0" w:color="auto"/>
      </w:divBdr>
      <w:divsChild>
        <w:div w:id="1659727957">
          <w:marLeft w:val="0"/>
          <w:marRight w:val="0"/>
          <w:marTop w:val="0"/>
          <w:marBottom w:val="0"/>
          <w:divBdr>
            <w:top w:val="none" w:sz="0" w:space="0" w:color="auto"/>
            <w:left w:val="none" w:sz="0" w:space="0" w:color="auto"/>
            <w:bottom w:val="none" w:sz="0" w:space="0" w:color="auto"/>
            <w:right w:val="none" w:sz="0" w:space="0" w:color="auto"/>
          </w:divBdr>
        </w:div>
      </w:divsChild>
    </w:div>
    <w:div w:id="335379554">
      <w:bodyDiv w:val="1"/>
      <w:marLeft w:val="0"/>
      <w:marRight w:val="0"/>
      <w:marTop w:val="0"/>
      <w:marBottom w:val="0"/>
      <w:divBdr>
        <w:top w:val="none" w:sz="0" w:space="0" w:color="auto"/>
        <w:left w:val="none" w:sz="0" w:space="0" w:color="auto"/>
        <w:bottom w:val="none" w:sz="0" w:space="0" w:color="auto"/>
        <w:right w:val="none" w:sz="0" w:space="0" w:color="auto"/>
      </w:divBdr>
    </w:div>
    <w:div w:id="731660792">
      <w:bodyDiv w:val="1"/>
      <w:marLeft w:val="0"/>
      <w:marRight w:val="0"/>
      <w:marTop w:val="0"/>
      <w:marBottom w:val="0"/>
      <w:divBdr>
        <w:top w:val="none" w:sz="0" w:space="0" w:color="auto"/>
        <w:left w:val="none" w:sz="0" w:space="0" w:color="auto"/>
        <w:bottom w:val="none" w:sz="0" w:space="0" w:color="auto"/>
        <w:right w:val="none" w:sz="0" w:space="0" w:color="auto"/>
      </w:divBdr>
      <w:divsChild>
        <w:div w:id="1381199654">
          <w:marLeft w:val="0"/>
          <w:marRight w:val="0"/>
          <w:marTop w:val="0"/>
          <w:marBottom w:val="0"/>
          <w:divBdr>
            <w:top w:val="none" w:sz="0" w:space="0" w:color="auto"/>
            <w:left w:val="none" w:sz="0" w:space="0" w:color="auto"/>
            <w:bottom w:val="none" w:sz="0" w:space="0" w:color="auto"/>
            <w:right w:val="none" w:sz="0" w:space="0" w:color="auto"/>
          </w:divBdr>
        </w:div>
      </w:divsChild>
    </w:div>
    <w:div w:id="755054550">
      <w:bodyDiv w:val="1"/>
      <w:marLeft w:val="0"/>
      <w:marRight w:val="0"/>
      <w:marTop w:val="0"/>
      <w:marBottom w:val="0"/>
      <w:divBdr>
        <w:top w:val="none" w:sz="0" w:space="0" w:color="auto"/>
        <w:left w:val="none" w:sz="0" w:space="0" w:color="auto"/>
        <w:bottom w:val="none" w:sz="0" w:space="0" w:color="auto"/>
        <w:right w:val="none" w:sz="0" w:space="0" w:color="auto"/>
      </w:divBdr>
      <w:divsChild>
        <w:div w:id="510685400">
          <w:marLeft w:val="0"/>
          <w:marRight w:val="0"/>
          <w:marTop w:val="0"/>
          <w:marBottom w:val="0"/>
          <w:divBdr>
            <w:top w:val="none" w:sz="0" w:space="0" w:color="auto"/>
            <w:left w:val="none" w:sz="0" w:space="0" w:color="auto"/>
            <w:bottom w:val="none" w:sz="0" w:space="0" w:color="auto"/>
            <w:right w:val="none" w:sz="0" w:space="0" w:color="auto"/>
          </w:divBdr>
        </w:div>
      </w:divsChild>
    </w:div>
    <w:div w:id="821315880">
      <w:bodyDiv w:val="1"/>
      <w:marLeft w:val="0"/>
      <w:marRight w:val="0"/>
      <w:marTop w:val="0"/>
      <w:marBottom w:val="0"/>
      <w:divBdr>
        <w:top w:val="none" w:sz="0" w:space="0" w:color="auto"/>
        <w:left w:val="none" w:sz="0" w:space="0" w:color="auto"/>
        <w:bottom w:val="none" w:sz="0" w:space="0" w:color="auto"/>
        <w:right w:val="none" w:sz="0" w:space="0" w:color="auto"/>
      </w:divBdr>
      <w:divsChild>
        <w:div w:id="624234231">
          <w:marLeft w:val="0"/>
          <w:marRight w:val="0"/>
          <w:marTop w:val="0"/>
          <w:marBottom w:val="0"/>
          <w:divBdr>
            <w:top w:val="none" w:sz="0" w:space="0" w:color="auto"/>
            <w:left w:val="none" w:sz="0" w:space="0" w:color="auto"/>
            <w:bottom w:val="none" w:sz="0" w:space="0" w:color="auto"/>
            <w:right w:val="none" w:sz="0" w:space="0" w:color="auto"/>
          </w:divBdr>
        </w:div>
      </w:divsChild>
    </w:div>
    <w:div w:id="831797701">
      <w:bodyDiv w:val="1"/>
      <w:marLeft w:val="0"/>
      <w:marRight w:val="0"/>
      <w:marTop w:val="0"/>
      <w:marBottom w:val="0"/>
      <w:divBdr>
        <w:top w:val="none" w:sz="0" w:space="0" w:color="auto"/>
        <w:left w:val="none" w:sz="0" w:space="0" w:color="auto"/>
        <w:bottom w:val="none" w:sz="0" w:space="0" w:color="auto"/>
        <w:right w:val="none" w:sz="0" w:space="0" w:color="auto"/>
      </w:divBdr>
    </w:div>
    <w:div w:id="855770200">
      <w:bodyDiv w:val="1"/>
      <w:marLeft w:val="0"/>
      <w:marRight w:val="0"/>
      <w:marTop w:val="0"/>
      <w:marBottom w:val="0"/>
      <w:divBdr>
        <w:top w:val="none" w:sz="0" w:space="0" w:color="auto"/>
        <w:left w:val="none" w:sz="0" w:space="0" w:color="auto"/>
        <w:bottom w:val="none" w:sz="0" w:space="0" w:color="auto"/>
        <w:right w:val="none" w:sz="0" w:space="0" w:color="auto"/>
      </w:divBdr>
      <w:divsChild>
        <w:div w:id="194461612">
          <w:marLeft w:val="0"/>
          <w:marRight w:val="0"/>
          <w:marTop w:val="0"/>
          <w:marBottom w:val="0"/>
          <w:divBdr>
            <w:top w:val="none" w:sz="0" w:space="0" w:color="auto"/>
            <w:left w:val="none" w:sz="0" w:space="0" w:color="auto"/>
            <w:bottom w:val="none" w:sz="0" w:space="0" w:color="auto"/>
            <w:right w:val="none" w:sz="0" w:space="0" w:color="auto"/>
          </w:divBdr>
        </w:div>
      </w:divsChild>
    </w:div>
    <w:div w:id="914978620">
      <w:bodyDiv w:val="1"/>
      <w:marLeft w:val="0"/>
      <w:marRight w:val="0"/>
      <w:marTop w:val="0"/>
      <w:marBottom w:val="0"/>
      <w:divBdr>
        <w:top w:val="none" w:sz="0" w:space="0" w:color="auto"/>
        <w:left w:val="none" w:sz="0" w:space="0" w:color="auto"/>
        <w:bottom w:val="none" w:sz="0" w:space="0" w:color="auto"/>
        <w:right w:val="none" w:sz="0" w:space="0" w:color="auto"/>
      </w:divBdr>
    </w:div>
    <w:div w:id="937252629">
      <w:bodyDiv w:val="1"/>
      <w:marLeft w:val="0"/>
      <w:marRight w:val="0"/>
      <w:marTop w:val="0"/>
      <w:marBottom w:val="0"/>
      <w:divBdr>
        <w:top w:val="none" w:sz="0" w:space="0" w:color="auto"/>
        <w:left w:val="none" w:sz="0" w:space="0" w:color="auto"/>
        <w:bottom w:val="none" w:sz="0" w:space="0" w:color="auto"/>
        <w:right w:val="none" w:sz="0" w:space="0" w:color="auto"/>
      </w:divBdr>
      <w:divsChild>
        <w:div w:id="1257135412">
          <w:marLeft w:val="0"/>
          <w:marRight w:val="0"/>
          <w:marTop w:val="0"/>
          <w:marBottom w:val="0"/>
          <w:divBdr>
            <w:top w:val="none" w:sz="0" w:space="0" w:color="auto"/>
            <w:left w:val="none" w:sz="0" w:space="0" w:color="auto"/>
            <w:bottom w:val="none" w:sz="0" w:space="0" w:color="auto"/>
            <w:right w:val="none" w:sz="0" w:space="0" w:color="auto"/>
          </w:divBdr>
        </w:div>
      </w:divsChild>
    </w:div>
    <w:div w:id="1085687832">
      <w:bodyDiv w:val="1"/>
      <w:marLeft w:val="0"/>
      <w:marRight w:val="0"/>
      <w:marTop w:val="0"/>
      <w:marBottom w:val="0"/>
      <w:divBdr>
        <w:top w:val="none" w:sz="0" w:space="0" w:color="auto"/>
        <w:left w:val="none" w:sz="0" w:space="0" w:color="auto"/>
        <w:bottom w:val="none" w:sz="0" w:space="0" w:color="auto"/>
        <w:right w:val="none" w:sz="0" w:space="0" w:color="auto"/>
      </w:divBdr>
      <w:divsChild>
        <w:div w:id="2071804298">
          <w:marLeft w:val="547"/>
          <w:marRight w:val="0"/>
          <w:marTop w:val="130"/>
          <w:marBottom w:val="0"/>
          <w:divBdr>
            <w:top w:val="none" w:sz="0" w:space="0" w:color="auto"/>
            <w:left w:val="none" w:sz="0" w:space="0" w:color="auto"/>
            <w:bottom w:val="none" w:sz="0" w:space="0" w:color="auto"/>
            <w:right w:val="none" w:sz="0" w:space="0" w:color="auto"/>
          </w:divBdr>
        </w:div>
        <w:div w:id="509181635">
          <w:marLeft w:val="547"/>
          <w:marRight w:val="0"/>
          <w:marTop w:val="130"/>
          <w:marBottom w:val="0"/>
          <w:divBdr>
            <w:top w:val="none" w:sz="0" w:space="0" w:color="auto"/>
            <w:left w:val="none" w:sz="0" w:space="0" w:color="auto"/>
            <w:bottom w:val="none" w:sz="0" w:space="0" w:color="auto"/>
            <w:right w:val="none" w:sz="0" w:space="0" w:color="auto"/>
          </w:divBdr>
        </w:div>
        <w:div w:id="1210338011">
          <w:marLeft w:val="547"/>
          <w:marRight w:val="0"/>
          <w:marTop w:val="130"/>
          <w:marBottom w:val="0"/>
          <w:divBdr>
            <w:top w:val="none" w:sz="0" w:space="0" w:color="auto"/>
            <w:left w:val="none" w:sz="0" w:space="0" w:color="auto"/>
            <w:bottom w:val="none" w:sz="0" w:space="0" w:color="auto"/>
            <w:right w:val="none" w:sz="0" w:space="0" w:color="auto"/>
          </w:divBdr>
        </w:div>
      </w:divsChild>
    </w:div>
    <w:div w:id="1148011122">
      <w:bodyDiv w:val="1"/>
      <w:marLeft w:val="0"/>
      <w:marRight w:val="0"/>
      <w:marTop w:val="0"/>
      <w:marBottom w:val="0"/>
      <w:divBdr>
        <w:top w:val="none" w:sz="0" w:space="0" w:color="auto"/>
        <w:left w:val="none" w:sz="0" w:space="0" w:color="auto"/>
        <w:bottom w:val="none" w:sz="0" w:space="0" w:color="auto"/>
        <w:right w:val="none" w:sz="0" w:space="0" w:color="auto"/>
      </w:divBdr>
      <w:divsChild>
        <w:div w:id="1859198236">
          <w:marLeft w:val="0"/>
          <w:marRight w:val="0"/>
          <w:marTop w:val="0"/>
          <w:marBottom w:val="0"/>
          <w:divBdr>
            <w:top w:val="none" w:sz="0" w:space="0" w:color="auto"/>
            <w:left w:val="none" w:sz="0" w:space="0" w:color="auto"/>
            <w:bottom w:val="none" w:sz="0" w:space="0" w:color="auto"/>
            <w:right w:val="none" w:sz="0" w:space="0" w:color="auto"/>
          </w:divBdr>
        </w:div>
      </w:divsChild>
    </w:div>
    <w:div w:id="1220824013">
      <w:bodyDiv w:val="1"/>
      <w:marLeft w:val="0"/>
      <w:marRight w:val="0"/>
      <w:marTop w:val="0"/>
      <w:marBottom w:val="0"/>
      <w:divBdr>
        <w:top w:val="none" w:sz="0" w:space="0" w:color="auto"/>
        <w:left w:val="none" w:sz="0" w:space="0" w:color="auto"/>
        <w:bottom w:val="none" w:sz="0" w:space="0" w:color="auto"/>
        <w:right w:val="none" w:sz="0" w:space="0" w:color="auto"/>
      </w:divBdr>
    </w:div>
    <w:div w:id="1224950247">
      <w:bodyDiv w:val="1"/>
      <w:marLeft w:val="0"/>
      <w:marRight w:val="0"/>
      <w:marTop w:val="0"/>
      <w:marBottom w:val="0"/>
      <w:divBdr>
        <w:top w:val="none" w:sz="0" w:space="0" w:color="auto"/>
        <w:left w:val="none" w:sz="0" w:space="0" w:color="auto"/>
        <w:bottom w:val="none" w:sz="0" w:space="0" w:color="auto"/>
        <w:right w:val="none" w:sz="0" w:space="0" w:color="auto"/>
      </w:divBdr>
    </w:div>
    <w:div w:id="1427117814">
      <w:bodyDiv w:val="1"/>
      <w:marLeft w:val="0"/>
      <w:marRight w:val="0"/>
      <w:marTop w:val="0"/>
      <w:marBottom w:val="0"/>
      <w:divBdr>
        <w:top w:val="none" w:sz="0" w:space="0" w:color="auto"/>
        <w:left w:val="none" w:sz="0" w:space="0" w:color="auto"/>
        <w:bottom w:val="none" w:sz="0" w:space="0" w:color="auto"/>
        <w:right w:val="none" w:sz="0" w:space="0" w:color="auto"/>
      </w:divBdr>
    </w:div>
    <w:div w:id="1459643885">
      <w:bodyDiv w:val="1"/>
      <w:marLeft w:val="0"/>
      <w:marRight w:val="0"/>
      <w:marTop w:val="0"/>
      <w:marBottom w:val="0"/>
      <w:divBdr>
        <w:top w:val="none" w:sz="0" w:space="0" w:color="auto"/>
        <w:left w:val="none" w:sz="0" w:space="0" w:color="auto"/>
        <w:bottom w:val="none" w:sz="0" w:space="0" w:color="auto"/>
        <w:right w:val="none" w:sz="0" w:space="0" w:color="auto"/>
      </w:divBdr>
      <w:divsChild>
        <w:div w:id="419301555">
          <w:marLeft w:val="0"/>
          <w:marRight w:val="0"/>
          <w:marTop w:val="0"/>
          <w:marBottom w:val="0"/>
          <w:divBdr>
            <w:top w:val="none" w:sz="0" w:space="0" w:color="auto"/>
            <w:left w:val="none" w:sz="0" w:space="0" w:color="auto"/>
            <w:bottom w:val="none" w:sz="0" w:space="0" w:color="auto"/>
            <w:right w:val="none" w:sz="0" w:space="0" w:color="auto"/>
          </w:divBdr>
        </w:div>
      </w:divsChild>
    </w:div>
    <w:div w:id="1533882005">
      <w:bodyDiv w:val="1"/>
      <w:marLeft w:val="0"/>
      <w:marRight w:val="0"/>
      <w:marTop w:val="0"/>
      <w:marBottom w:val="0"/>
      <w:divBdr>
        <w:top w:val="none" w:sz="0" w:space="0" w:color="auto"/>
        <w:left w:val="none" w:sz="0" w:space="0" w:color="auto"/>
        <w:bottom w:val="none" w:sz="0" w:space="0" w:color="auto"/>
        <w:right w:val="none" w:sz="0" w:space="0" w:color="auto"/>
      </w:divBdr>
      <w:divsChild>
        <w:div w:id="2068993763">
          <w:marLeft w:val="0"/>
          <w:marRight w:val="0"/>
          <w:marTop w:val="0"/>
          <w:marBottom w:val="0"/>
          <w:divBdr>
            <w:top w:val="none" w:sz="0" w:space="0" w:color="auto"/>
            <w:left w:val="none" w:sz="0" w:space="0" w:color="auto"/>
            <w:bottom w:val="none" w:sz="0" w:space="0" w:color="auto"/>
            <w:right w:val="none" w:sz="0" w:space="0" w:color="auto"/>
          </w:divBdr>
        </w:div>
      </w:divsChild>
    </w:div>
    <w:div w:id="1894727704">
      <w:bodyDiv w:val="1"/>
      <w:marLeft w:val="0"/>
      <w:marRight w:val="0"/>
      <w:marTop w:val="0"/>
      <w:marBottom w:val="0"/>
      <w:divBdr>
        <w:top w:val="none" w:sz="0" w:space="0" w:color="auto"/>
        <w:left w:val="none" w:sz="0" w:space="0" w:color="auto"/>
        <w:bottom w:val="none" w:sz="0" w:space="0" w:color="auto"/>
        <w:right w:val="none" w:sz="0" w:space="0" w:color="auto"/>
      </w:divBdr>
      <w:divsChild>
        <w:div w:id="1998454970">
          <w:marLeft w:val="0"/>
          <w:marRight w:val="0"/>
          <w:marTop w:val="0"/>
          <w:marBottom w:val="0"/>
          <w:divBdr>
            <w:top w:val="none" w:sz="0" w:space="0" w:color="auto"/>
            <w:left w:val="none" w:sz="0" w:space="0" w:color="auto"/>
            <w:bottom w:val="none" w:sz="0" w:space="0" w:color="auto"/>
            <w:right w:val="none" w:sz="0" w:space="0" w:color="auto"/>
          </w:divBdr>
        </w:div>
      </w:divsChild>
    </w:div>
    <w:div w:id="1974484127">
      <w:bodyDiv w:val="1"/>
      <w:marLeft w:val="0"/>
      <w:marRight w:val="0"/>
      <w:marTop w:val="0"/>
      <w:marBottom w:val="0"/>
      <w:divBdr>
        <w:top w:val="none" w:sz="0" w:space="0" w:color="auto"/>
        <w:left w:val="none" w:sz="0" w:space="0" w:color="auto"/>
        <w:bottom w:val="none" w:sz="0" w:space="0" w:color="auto"/>
        <w:right w:val="none" w:sz="0" w:space="0" w:color="auto"/>
      </w:divBdr>
    </w:div>
    <w:div w:id="2005745389">
      <w:bodyDiv w:val="1"/>
      <w:marLeft w:val="0"/>
      <w:marRight w:val="0"/>
      <w:marTop w:val="0"/>
      <w:marBottom w:val="0"/>
      <w:divBdr>
        <w:top w:val="none" w:sz="0" w:space="0" w:color="auto"/>
        <w:left w:val="none" w:sz="0" w:space="0" w:color="auto"/>
        <w:bottom w:val="none" w:sz="0" w:space="0" w:color="auto"/>
        <w:right w:val="none" w:sz="0" w:space="0" w:color="auto"/>
      </w:divBdr>
    </w:div>
    <w:div w:id="2083063728">
      <w:bodyDiv w:val="1"/>
      <w:marLeft w:val="0"/>
      <w:marRight w:val="0"/>
      <w:marTop w:val="0"/>
      <w:marBottom w:val="0"/>
      <w:divBdr>
        <w:top w:val="none" w:sz="0" w:space="0" w:color="auto"/>
        <w:left w:val="none" w:sz="0" w:space="0" w:color="auto"/>
        <w:bottom w:val="none" w:sz="0" w:space="0" w:color="auto"/>
        <w:right w:val="none" w:sz="0" w:space="0" w:color="auto"/>
      </w:divBdr>
      <w:divsChild>
        <w:div w:id="1752779147">
          <w:marLeft w:val="0"/>
          <w:marRight w:val="0"/>
          <w:marTop w:val="0"/>
          <w:marBottom w:val="0"/>
          <w:divBdr>
            <w:top w:val="none" w:sz="0" w:space="0" w:color="auto"/>
            <w:left w:val="none" w:sz="0" w:space="0" w:color="auto"/>
            <w:bottom w:val="none" w:sz="0" w:space="0" w:color="auto"/>
            <w:right w:val="none" w:sz="0" w:space="0" w:color="auto"/>
          </w:divBdr>
        </w:div>
      </w:divsChild>
    </w:div>
    <w:div w:id="2103793095">
      <w:bodyDiv w:val="1"/>
      <w:marLeft w:val="0"/>
      <w:marRight w:val="0"/>
      <w:marTop w:val="0"/>
      <w:marBottom w:val="0"/>
      <w:divBdr>
        <w:top w:val="none" w:sz="0" w:space="0" w:color="auto"/>
        <w:left w:val="none" w:sz="0" w:space="0" w:color="auto"/>
        <w:bottom w:val="none" w:sz="0" w:space="0" w:color="auto"/>
        <w:right w:val="none" w:sz="0" w:space="0" w:color="auto"/>
      </w:divBdr>
      <w:divsChild>
        <w:div w:id="2088919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hyperlink" Target="http://www.rics.org/uk/knowledge/research/research-reports/infrastructure-investment-in-bengaluru-india/"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hyperlink" Target="http://dx.doi.org/10.2139/ssrn.2417559" TargetMode="Externa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nanda@reading.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E32F-BAF4-4DDF-B11C-0C771CAEE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24</Pages>
  <Words>8350</Words>
  <Characters>47599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McAllister</dc:creator>
  <cp:lastModifiedBy>Dr Anupam Nanda</cp:lastModifiedBy>
  <cp:revision>7</cp:revision>
  <cp:lastPrinted>2014-09-03T12:02:00Z</cp:lastPrinted>
  <dcterms:created xsi:type="dcterms:W3CDTF">2015-05-19T16:46:00Z</dcterms:created>
  <dcterms:modified xsi:type="dcterms:W3CDTF">2015-05-19T17:05:00Z</dcterms:modified>
</cp:coreProperties>
</file>